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0ADF" w14:textId="77777777" w:rsidR="00C9505B" w:rsidRPr="007C6C88" w:rsidRDefault="00816AAD" w:rsidP="008906F1">
      <w:pPr>
        <w:spacing w:line="480" w:lineRule="auto"/>
        <w:jc w:val="left"/>
        <w:rPr>
          <w:rFonts w:ascii="Times New Roman" w:hAnsi="Times New Roman"/>
          <w:b/>
          <w:sz w:val="28"/>
          <w:szCs w:val="28"/>
        </w:rPr>
      </w:pPr>
      <w:r w:rsidRPr="007C6C8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63BCA6" wp14:editId="3315B6D8">
            <wp:extent cx="2756535" cy="14547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3CEA" w14:textId="77777777" w:rsidR="004334F6" w:rsidRPr="007C6C88" w:rsidRDefault="004334F6" w:rsidP="008906F1">
      <w:pPr>
        <w:spacing w:line="48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4CBED04B" w14:textId="77777777" w:rsidR="00325FC6" w:rsidRPr="007C6C88" w:rsidRDefault="00325FC6" w:rsidP="008906F1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262611E1" w14:textId="77777777" w:rsidR="00623676" w:rsidRPr="007C6C88" w:rsidRDefault="00E70C36" w:rsidP="008906F1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  <w:r w:rsidRPr="007C6C88">
        <w:rPr>
          <w:rFonts w:ascii="Times New Roman" w:hAnsi="Times New Roman"/>
          <w:iCs/>
          <w:sz w:val="28"/>
          <w:szCs w:val="28"/>
        </w:rPr>
        <w:t>A Atividade Económica Rural não Agrícola:</w:t>
      </w:r>
    </w:p>
    <w:p w14:paraId="7741EDE9" w14:textId="1A14AC63" w:rsidR="004334F6" w:rsidRPr="007C6C88" w:rsidRDefault="00E70C36" w:rsidP="008906F1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  <w:r w:rsidRPr="007C6C88">
        <w:rPr>
          <w:rFonts w:ascii="Times New Roman" w:hAnsi="Times New Roman"/>
          <w:iCs/>
          <w:sz w:val="28"/>
          <w:szCs w:val="28"/>
        </w:rPr>
        <w:t xml:space="preserve"> </w:t>
      </w:r>
      <w:r w:rsidR="004334F6" w:rsidRPr="007C6C88">
        <w:rPr>
          <w:rFonts w:ascii="Times New Roman" w:hAnsi="Times New Roman"/>
          <w:iCs/>
          <w:sz w:val="28"/>
          <w:szCs w:val="28"/>
        </w:rPr>
        <w:t xml:space="preserve">Ensaio sobre a Composição Setorial do Rendimento e do PIB (1600-1850) </w:t>
      </w:r>
    </w:p>
    <w:p w14:paraId="3848DFEB" w14:textId="77777777" w:rsidR="004334F6" w:rsidRPr="007C6C88" w:rsidRDefault="004334F6" w:rsidP="008906F1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12CD765F" w14:textId="77777777" w:rsidR="004334F6" w:rsidRPr="007C6C88" w:rsidRDefault="004334F6" w:rsidP="008906F1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3555528A" w14:textId="77777777" w:rsidR="004334F6" w:rsidRPr="007C6C88" w:rsidRDefault="004334F6" w:rsidP="00281AFC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428EDFA7" w14:textId="77777777" w:rsidR="004334F6" w:rsidRPr="009C65F4" w:rsidRDefault="004334F6" w:rsidP="00281AFC">
      <w:pPr>
        <w:spacing w:line="48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65F4">
        <w:rPr>
          <w:rFonts w:ascii="Times New Roman" w:hAnsi="Times New Roman"/>
          <w:bCs/>
          <w:sz w:val="28"/>
          <w:szCs w:val="28"/>
        </w:rPr>
        <w:t>Parcídio Matos</w:t>
      </w:r>
    </w:p>
    <w:p w14:paraId="5AFCDBEF" w14:textId="7DD727D6" w:rsidR="004334F6" w:rsidRPr="009C65F4" w:rsidRDefault="00281AFC" w:rsidP="008906F1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  <w:r w:rsidRPr="009C65F4">
        <w:rPr>
          <w:rFonts w:ascii="Times New Roman" w:hAnsi="Times New Roman"/>
          <w:iCs/>
          <w:sz w:val="28"/>
          <w:szCs w:val="28"/>
        </w:rPr>
        <w:t>ISEG</w:t>
      </w:r>
    </w:p>
    <w:p w14:paraId="672E3FEC" w14:textId="10B3817E" w:rsidR="00281AFC" w:rsidRPr="009C65F4" w:rsidRDefault="00281AFC" w:rsidP="008906F1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  <w:r w:rsidRPr="009C65F4">
        <w:rPr>
          <w:rFonts w:ascii="Times New Roman" w:hAnsi="Times New Roman"/>
          <w:iCs/>
          <w:sz w:val="28"/>
          <w:szCs w:val="28"/>
        </w:rPr>
        <w:t>parcidio.matos@phd.iseg.ulisboa.pt</w:t>
      </w:r>
    </w:p>
    <w:p w14:paraId="3750FA7B" w14:textId="77777777" w:rsidR="004334F6" w:rsidRPr="009C65F4" w:rsidRDefault="004334F6" w:rsidP="008906F1">
      <w:pPr>
        <w:spacing w:line="480" w:lineRule="auto"/>
        <w:jc w:val="center"/>
        <w:rPr>
          <w:rFonts w:ascii="Times New Roman" w:hAnsi="Times New Roman"/>
          <w:iCs/>
          <w:sz w:val="28"/>
          <w:szCs w:val="28"/>
        </w:rPr>
      </w:pPr>
      <w:r w:rsidRPr="009C65F4">
        <w:rPr>
          <w:rFonts w:ascii="Times New Roman" w:hAnsi="Times New Roman"/>
          <w:iCs/>
          <w:sz w:val="28"/>
          <w:szCs w:val="28"/>
        </w:rPr>
        <w:t xml:space="preserve"> </w:t>
      </w:r>
    </w:p>
    <w:p w14:paraId="39112AA7" w14:textId="6A52C874" w:rsidR="004334F6" w:rsidRPr="009C65F4" w:rsidRDefault="004334F6" w:rsidP="008906F1">
      <w:pPr>
        <w:spacing w:line="480" w:lineRule="auto"/>
        <w:jc w:val="left"/>
        <w:rPr>
          <w:rFonts w:ascii="Times New Roman" w:hAnsi="Times New Roman"/>
          <w:b/>
          <w:sz w:val="28"/>
          <w:szCs w:val="28"/>
        </w:rPr>
        <w:sectPr w:rsidR="004334F6" w:rsidRPr="009C65F4" w:rsidSect="00D2752B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09" w:footer="567" w:gutter="0"/>
          <w:cols w:space="708"/>
          <w:titlePg/>
          <w:docGrid w:linePitch="360"/>
        </w:sectPr>
      </w:pPr>
    </w:p>
    <w:p w14:paraId="62AC0EB6" w14:textId="77777777" w:rsidR="001D7099" w:rsidRPr="007C6C88" w:rsidRDefault="001D7099" w:rsidP="008906F1">
      <w:pPr>
        <w:spacing w:line="480" w:lineRule="auto"/>
        <w:ind w:firstLine="142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C6C88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Abstract</w:t>
      </w:r>
    </w:p>
    <w:p w14:paraId="7DBD4C22" w14:textId="7E57C5F9" w:rsidR="001D7099" w:rsidRDefault="001D7099" w:rsidP="008906F1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7C6C88">
        <w:rPr>
          <w:rFonts w:ascii="Times New Roman" w:hAnsi="Times New Roman"/>
          <w:sz w:val="24"/>
          <w:szCs w:val="24"/>
          <w:lang w:val="en-GB"/>
        </w:rPr>
        <w:t xml:space="preserve">Agriculture plays a major role in </w:t>
      </w:r>
      <w:r w:rsidR="005B71CE" w:rsidRPr="005B71CE">
        <w:rPr>
          <w:rFonts w:ascii="Times New Roman" w:hAnsi="Times New Roman"/>
          <w:sz w:val="24"/>
          <w:szCs w:val="24"/>
          <w:lang w:val="en-GB"/>
        </w:rPr>
        <w:t>explaining pre-industrial economic growth</w:t>
      </w:r>
      <w:r w:rsidR="005B71CE">
        <w:rPr>
          <w:rFonts w:ascii="Times New Roman" w:hAnsi="Times New Roman"/>
          <w:sz w:val="24"/>
          <w:szCs w:val="24"/>
          <w:lang w:val="en-GB"/>
        </w:rPr>
        <w:t xml:space="preserve">, as well as explaining </w:t>
      </w:r>
      <w:r w:rsidRPr="007C6C88">
        <w:rPr>
          <w:rFonts w:ascii="Times New Roman" w:hAnsi="Times New Roman"/>
          <w:sz w:val="24"/>
          <w:szCs w:val="24"/>
          <w:lang w:val="en-GB"/>
        </w:rPr>
        <w:t xml:space="preserve">the Little Divergence. </w:t>
      </w:r>
      <w:r>
        <w:rPr>
          <w:rFonts w:ascii="Times New Roman" w:hAnsi="Times New Roman"/>
          <w:sz w:val="24"/>
          <w:szCs w:val="24"/>
          <w:lang w:val="en-GB"/>
        </w:rPr>
        <w:t xml:space="preserve">Recently, </w:t>
      </w:r>
      <w:r w:rsidRPr="007C6C88">
        <w:rPr>
          <w:rFonts w:ascii="Times New Roman" w:hAnsi="Times New Roman"/>
          <w:sz w:val="24"/>
          <w:szCs w:val="24"/>
          <w:lang w:val="en-GB"/>
        </w:rPr>
        <w:t xml:space="preserve">Palma &amp; Reis (2019) </w:t>
      </w:r>
      <w:r w:rsidR="005B71CE" w:rsidRPr="005B71CE">
        <w:rPr>
          <w:rFonts w:ascii="Times New Roman" w:hAnsi="Times New Roman"/>
          <w:sz w:val="24"/>
          <w:szCs w:val="24"/>
          <w:lang w:val="en-GB"/>
        </w:rPr>
        <w:t xml:space="preserve">took an important step </w:t>
      </w:r>
      <w:r w:rsidR="005B71CE">
        <w:rPr>
          <w:rFonts w:ascii="Times New Roman" w:hAnsi="Times New Roman"/>
          <w:sz w:val="24"/>
          <w:szCs w:val="24"/>
          <w:lang w:val="en-GB"/>
        </w:rPr>
        <w:t xml:space="preserve">regarding </w:t>
      </w:r>
      <w:r w:rsidRPr="007C6C88">
        <w:rPr>
          <w:rFonts w:ascii="Times New Roman" w:hAnsi="Times New Roman"/>
          <w:sz w:val="24"/>
          <w:szCs w:val="24"/>
          <w:lang w:val="en-GB"/>
        </w:rPr>
        <w:t>the reconstruction of the national accounts for the pre-statistical age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7C6C88">
        <w:rPr>
          <w:rFonts w:ascii="Times New Roman" w:hAnsi="Times New Roman"/>
          <w:sz w:val="24"/>
          <w:szCs w:val="24"/>
          <w:lang w:val="en-GB"/>
        </w:rPr>
        <w:t xml:space="preserve"> present</w:t>
      </w:r>
      <w:r>
        <w:rPr>
          <w:rFonts w:ascii="Times New Roman" w:hAnsi="Times New Roman"/>
          <w:sz w:val="24"/>
          <w:szCs w:val="24"/>
          <w:lang w:val="en-GB"/>
        </w:rPr>
        <w:t>ing</w:t>
      </w:r>
      <w:r w:rsidRPr="007C6C88">
        <w:rPr>
          <w:rFonts w:ascii="Times New Roman" w:hAnsi="Times New Roman"/>
          <w:sz w:val="24"/>
          <w:szCs w:val="24"/>
          <w:lang w:val="en-GB"/>
        </w:rPr>
        <w:t xml:space="preserve"> the first </w:t>
      </w:r>
      <w:r>
        <w:rPr>
          <w:rFonts w:ascii="Times New Roman" w:hAnsi="Times New Roman"/>
          <w:sz w:val="24"/>
          <w:szCs w:val="24"/>
          <w:lang w:val="en-GB"/>
        </w:rPr>
        <w:t xml:space="preserve">GDP </w:t>
      </w:r>
      <w:r w:rsidR="005B71CE">
        <w:rPr>
          <w:rFonts w:ascii="Times New Roman" w:hAnsi="Times New Roman"/>
          <w:sz w:val="24"/>
          <w:szCs w:val="24"/>
          <w:lang w:val="en-GB"/>
        </w:rPr>
        <w:t xml:space="preserve">e GAO </w:t>
      </w:r>
      <w:r>
        <w:rPr>
          <w:rFonts w:ascii="Times New Roman" w:hAnsi="Times New Roman"/>
          <w:sz w:val="24"/>
          <w:szCs w:val="24"/>
          <w:lang w:val="en-GB"/>
        </w:rPr>
        <w:t xml:space="preserve">series for </w:t>
      </w:r>
      <w:r w:rsidRPr="007C6C88">
        <w:rPr>
          <w:rFonts w:ascii="Times New Roman" w:hAnsi="Times New Roman"/>
          <w:sz w:val="24"/>
          <w:szCs w:val="24"/>
          <w:lang w:val="en-GB"/>
        </w:rPr>
        <w:t xml:space="preserve">the period 1527-1850. Based on the methodology employed by Palma &amp; Reis (2019), </w:t>
      </w:r>
      <w:r w:rsidR="005B71CE" w:rsidRPr="005B71CE">
        <w:rPr>
          <w:rFonts w:ascii="Times New Roman" w:hAnsi="Times New Roman"/>
          <w:sz w:val="24"/>
          <w:szCs w:val="24"/>
          <w:lang w:val="en-GB"/>
        </w:rPr>
        <w:t xml:space="preserve">I present new sectoral estimates of income distribution and GDP, which offer a new perspective on the relevance of the rural economy (agricultural and non-agricultural) </w:t>
      </w:r>
      <w:r w:rsidRPr="007C6C88">
        <w:rPr>
          <w:rFonts w:ascii="Times New Roman" w:hAnsi="Times New Roman"/>
          <w:sz w:val="24"/>
          <w:szCs w:val="24"/>
          <w:lang w:val="en-GB"/>
        </w:rPr>
        <w:t xml:space="preserve">to the </w:t>
      </w:r>
      <w:r>
        <w:rPr>
          <w:rFonts w:ascii="Times New Roman" w:hAnsi="Times New Roman"/>
          <w:sz w:val="24"/>
          <w:szCs w:val="24"/>
          <w:lang w:val="en-GB"/>
        </w:rPr>
        <w:t xml:space="preserve">economic </w:t>
      </w:r>
      <w:r w:rsidRPr="007C6C88">
        <w:rPr>
          <w:rFonts w:ascii="Times New Roman" w:hAnsi="Times New Roman"/>
          <w:sz w:val="24"/>
          <w:szCs w:val="24"/>
          <w:lang w:val="en-GB"/>
        </w:rPr>
        <w:t xml:space="preserve">rise and decline of Portugal between 1600 and 1850. </w:t>
      </w:r>
    </w:p>
    <w:p w14:paraId="6F099DBE" w14:textId="77777777" w:rsidR="00CD3CBE" w:rsidRDefault="00CD3CBE" w:rsidP="00CD3CBE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4C6F3B06" w14:textId="76F563D6" w:rsidR="001D7099" w:rsidRPr="005B71CE" w:rsidRDefault="001D7099" w:rsidP="008906F1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5B71CE">
        <w:rPr>
          <w:rFonts w:ascii="Times New Roman" w:hAnsi="Times New Roman"/>
          <w:sz w:val="24"/>
          <w:szCs w:val="24"/>
          <w:lang w:val="en-GB"/>
        </w:rPr>
        <w:t xml:space="preserve">Keywords: </w:t>
      </w:r>
      <w:r w:rsidR="005B71CE">
        <w:rPr>
          <w:rFonts w:ascii="Times New Roman" w:hAnsi="Times New Roman"/>
          <w:sz w:val="24"/>
          <w:szCs w:val="24"/>
          <w:lang w:val="en-GB"/>
        </w:rPr>
        <w:t>N</w:t>
      </w:r>
      <w:r w:rsidR="005B71CE" w:rsidRPr="007C6C88">
        <w:rPr>
          <w:rFonts w:ascii="Times New Roman" w:hAnsi="Times New Roman"/>
          <w:sz w:val="24"/>
          <w:szCs w:val="24"/>
          <w:lang w:val="en-GB"/>
        </w:rPr>
        <w:t xml:space="preserve">ational </w:t>
      </w:r>
      <w:r w:rsidR="005B71CE">
        <w:rPr>
          <w:rFonts w:ascii="Times New Roman" w:hAnsi="Times New Roman"/>
          <w:sz w:val="24"/>
          <w:szCs w:val="24"/>
          <w:lang w:val="en-GB"/>
        </w:rPr>
        <w:t>A</w:t>
      </w:r>
      <w:r w:rsidR="005B71CE" w:rsidRPr="007C6C88">
        <w:rPr>
          <w:rFonts w:ascii="Times New Roman" w:hAnsi="Times New Roman"/>
          <w:sz w:val="24"/>
          <w:szCs w:val="24"/>
          <w:lang w:val="en-GB"/>
        </w:rPr>
        <w:t>ccounts</w:t>
      </w:r>
      <w:r w:rsidR="005B71CE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5B71CE" w:rsidRPr="005B71CE">
        <w:rPr>
          <w:rFonts w:ascii="Times New Roman" w:hAnsi="Times New Roman"/>
          <w:sz w:val="24"/>
          <w:szCs w:val="24"/>
          <w:lang w:val="en-GB"/>
        </w:rPr>
        <w:t>Agriculture, Eco</w:t>
      </w:r>
      <w:r w:rsidR="005B71CE">
        <w:rPr>
          <w:rFonts w:ascii="Times New Roman" w:hAnsi="Times New Roman"/>
          <w:sz w:val="24"/>
          <w:szCs w:val="24"/>
          <w:lang w:val="en-GB"/>
        </w:rPr>
        <w:t>nomic Growth, Little Divergence</w:t>
      </w:r>
      <w:r w:rsidR="00CD3CBE">
        <w:rPr>
          <w:rFonts w:ascii="Times New Roman" w:hAnsi="Times New Roman"/>
          <w:sz w:val="24"/>
          <w:szCs w:val="24"/>
          <w:lang w:val="en-GB"/>
        </w:rPr>
        <w:t>.</w:t>
      </w:r>
    </w:p>
    <w:p w14:paraId="62382D25" w14:textId="059C6B83" w:rsidR="001D7099" w:rsidRDefault="001D7099" w:rsidP="008906F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</w:t>
      </w:r>
      <w:r w:rsidR="00281AFC">
        <w:rPr>
          <w:rFonts w:ascii="Times New Roman" w:hAnsi="Times New Roman"/>
          <w:sz w:val="24"/>
          <w:szCs w:val="24"/>
        </w:rPr>
        <w:t xml:space="preserve"> Classification</w:t>
      </w:r>
      <w:r>
        <w:rPr>
          <w:rFonts w:ascii="Times New Roman" w:hAnsi="Times New Roman"/>
          <w:sz w:val="24"/>
          <w:szCs w:val="24"/>
        </w:rPr>
        <w:t>: N13, N33, N53, C67</w:t>
      </w:r>
    </w:p>
    <w:p w14:paraId="2028C7B9" w14:textId="77777777" w:rsidR="001D7099" w:rsidRDefault="001D7099" w:rsidP="008906F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782D188" w14:textId="77777777" w:rsidR="001D7099" w:rsidRPr="007C6C88" w:rsidRDefault="001D7099" w:rsidP="008906F1">
      <w:pPr>
        <w:spacing w:line="48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r w:rsidRPr="007C6C88">
        <w:rPr>
          <w:rFonts w:ascii="Times New Roman" w:hAnsi="Times New Roman"/>
          <w:b/>
          <w:bCs/>
          <w:sz w:val="24"/>
          <w:szCs w:val="24"/>
        </w:rPr>
        <w:t>Abstract</w:t>
      </w:r>
    </w:p>
    <w:p w14:paraId="50AD39A1" w14:textId="497C6CC2" w:rsidR="001D7099" w:rsidRDefault="001D7099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7C6C88">
        <w:rPr>
          <w:rFonts w:ascii="Times New Roman" w:hAnsi="Times New Roman"/>
          <w:sz w:val="24"/>
          <w:szCs w:val="24"/>
        </w:rPr>
        <w:t xml:space="preserve">A agricultura desempenha um papel importante </w:t>
      </w:r>
      <w:r w:rsidR="005B71CE">
        <w:rPr>
          <w:rFonts w:ascii="Times New Roman" w:hAnsi="Times New Roman"/>
          <w:sz w:val="24"/>
          <w:szCs w:val="24"/>
        </w:rPr>
        <w:t>para explicar o crescimento económico pré-industrial, assim, como a formação d</w:t>
      </w:r>
      <w:r w:rsidRPr="007C6C88">
        <w:rPr>
          <w:rFonts w:ascii="Times New Roman" w:hAnsi="Times New Roman"/>
          <w:sz w:val="24"/>
          <w:szCs w:val="24"/>
        </w:rPr>
        <w:t>a Pequena Divergência</w:t>
      </w:r>
      <w:r>
        <w:rPr>
          <w:rFonts w:ascii="Times New Roman" w:hAnsi="Times New Roman"/>
          <w:sz w:val="24"/>
          <w:szCs w:val="24"/>
        </w:rPr>
        <w:t>.</w:t>
      </w:r>
      <w:r w:rsidRPr="007C6C88">
        <w:rPr>
          <w:rFonts w:ascii="Times New Roman" w:hAnsi="Times New Roman"/>
          <w:sz w:val="24"/>
          <w:szCs w:val="24"/>
        </w:rPr>
        <w:t xml:space="preserve"> </w:t>
      </w:r>
      <w:r w:rsidRPr="005C3BE5">
        <w:rPr>
          <w:rFonts w:ascii="Times New Roman" w:hAnsi="Times New Roman"/>
          <w:sz w:val="24"/>
          <w:szCs w:val="24"/>
        </w:rPr>
        <w:t xml:space="preserve">Recentemente, Palma &amp; Reis (2019) </w:t>
      </w:r>
      <w:r>
        <w:rPr>
          <w:rFonts w:ascii="Times New Roman" w:hAnsi="Times New Roman"/>
          <w:sz w:val="24"/>
          <w:szCs w:val="24"/>
        </w:rPr>
        <w:t xml:space="preserve">deram um passo importante </w:t>
      </w:r>
      <w:r w:rsidRPr="005C3BE5">
        <w:rPr>
          <w:rFonts w:ascii="Times New Roman" w:hAnsi="Times New Roman"/>
          <w:sz w:val="24"/>
          <w:szCs w:val="24"/>
        </w:rPr>
        <w:t xml:space="preserve">na reconstrução das contas nacionais </w:t>
      </w:r>
      <w:r>
        <w:rPr>
          <w:rFonts w:ascii="Times New Roman" w:hAnsi="Times New Roman"/>
          <w:sz w:val="24"/>
          <w:szCs w:val="24"/>
        </w:rPr>
        <w:t>n</w:t>
      </w:r>
      <w:r w:rsidRPr="005C3BE5">
        <w:rPr>
          <w:rFonts w:ascii="Times New Roman" w:hAnsi="Times New Roman"/>
          <w:sz w:val="24"/>
          <w:szCs w:val="24"/>
        </w:rPr>
        <w:t xml:space="preserve">a era pré-estatística, </w:t>
      </w:r>
      <w:r>
        <w:rPr>
          <w:rFonts w:ascii="Times New Roman" w:hAnsi="Times New Roman"/>
          <w:sz w:val="24"/>
          <w:szCs w:val="24"/>
        </w:rPr>
        <w:t>construindo a</w:t>
      </w:r>
      <w:r w:rsidR="005B71C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primeira</w:t>
      </w:r>
      <w:r w:rsidR="005B71C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série</w:t>
      </w:r>
      <w:r w:rsidR="005B71C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 </w:t>
      </w:r>
      <w:r w:rsidRPr="005C3BE5">
        <w:rPr>
          <w:rFonts w:ascii="Times New Roman" w:hAnsi="Times New Roman"/>
          <w:sz w:val="24"/>
          <w:szCs w:val="24"/>
        </w:rPr>
        <w:t xml:space="preserve">PIB </w:t>
      </w:r>
      <w:r w:rsidR="005B71CE">
        <w:rPr>
          <w:rFonts w:ascii="Times New Roman" w:hAnsi="Times New Roman"/>
          <w:sz w:val="24"/>
          <w:szCs w:val="24"/>
        </w:rPr>
        <w:t xml:space="preserve">e PAB nacionais </w:t>
      </w:r>
      <w:r w:rsidRPr="005C3BE5">
        <w:rPr>
          <w:rFonts w:ascii="Times New Roman" w:hAnsi="Times New Roman"/>
          <w:sz w:val="24"/>
          <w:szCs w:val="24"/>
        </w:rPr>
        <w:t>para o período 1527-1850. Com base na metodologia utilizada por Palma &amp; Reis (2019), apresento novas estimativas setoriais da distribuição do rendimento</w:t>
      </w:r>
      <w:r>
        <w:rPr>
          <w:rFonts w:ascii="Times New Roman" w:hAnsi="Times New Roman"/>
          <w:sz w:val="24"/>
          <w:szCs w:val="24"/>
        </w:rPr>
        <w:t xml:space="preserve"> e do PIB</w:t>
      </w:r>
      <w:r w:rsidRPr="005C3BE5">
        <w:rPr>
          <w:rFonts w:ascii="Times New Roman" w:hAnsi="Times New Roman"/>
          <w:sz w:val="24"/>
          <w:szCs w:val="24"/>
        </w:rPr>
        <w:t xml:space="preserve">, que </w:t>
      </w:r>
      <w:r>
        <w:rPr>
          <w:rFonts w:ascii="Times New Roman" w:hAnsi="Times New Roman"/>
          <w:sz w:val="24"/>
          <w:szCs w:val="24"/>
        </w:rPr>
        <w:t>oferecem</w:t>
      </w:r>
      <w:r w:rsidRPr="005C3BE5">
        <w:rPr>
          <w:rFonts w:ascii="Times New Roman" w:hAnsi="Times New Roman"/>
          <w:sz w:val="24"/>
          <w:szCs w:val="24"/>
        </w:rPr>
        <w:t xml:space="preserve"> uma nova perspetiva sobre a relevância da economia rural (agrícola e não agrícola) para </w:t>
      </w:r>
      <w:r>
        <w:rPr>
          <w:rFonts w:ascii="Times New Roman" w:hAnsi="Times New Roman"/>
          <w:sz w:val="24"/>
          <w:szCs w:val="24"/>
        </w:rPr>
        <w:t xml:space="preserve">o crescimento e declínio económico português </w:t>
      </w:r>
      <w:r w:rsidRPr="005C3BE5">
        <w:rPr>
          <w:rFonts w:ascii="Times New Roman" w:hAnsi="Times New Roman"/>
          <w:sz w:val="24"/>
          <w:szCs w:val="24"/>
        </w:rPr>
        <w:t>entre 1600 e 1850.</w:t>
      </w:r>
    </w:p>
    <w:p w14:paraId="5BA175E6" w14:textId="77777777" w:rsidR="005B71CE" w:rsidRDefault="005B71CE" w:rsidP="00CD3CBE">
      <w:pPr>
        <w:ind w:firstLine="142"/>
        <w:rPr>
          <w:rFonts w:ascii="Times New Roman" w:hAnsi="Times New Roman"/>
          <w:sz w:val="24"/>
          <w:szCs w:val="24"/>
        </w:rPr>
      </w:pPr>
    </w:p>
    <w:p w14:paraId="36509FF9" w14:textId="3F040892" w:rsidR="001D7099" w:rsidRDefault="001D7099" w:rsidP="008906F1">
      <w:pPr>
        <w:spacing w:line="480" w:lineRule="auto"/>
        <w:rPr>
          <w:rFonts w:ascii="Times New Roman" w:hAnsi="Times New Roman"/>
          <w:sz w:val="24"/>
          <w:szCs w:val="24"/>
        </w:rPr>
      </w:pPr>
      <w:r w:rsidRPr="005B71CE">
        <w:rPr>
          <w:rFonts w:ascii="Times New Roman" w:hAnsi="Times New Roman"/>
          <w:sz w:val="24"/>
          <w:szCs w:val="24"/>
        </w:rPr>
        <w:t>Palavras-chave:</w:t>
      </w:r>
      <w:r w:rsidR="005B71CE">
        <w:rPr>
          <w:rFonts w:ascii="Times New Roman" w:hAnsi="Times New Roman"/>
          <w:sz w:val="24"/>
          <w:szCs w:val="24"/>
        </w:rPr>
        <w:t xml:space="preserve"> </w:t>
      </w:r>
      <w:r w:rsidR="00CD3CBE">
        <w:rPr>
          <w:rFonts w:ascii="Times New Roman" w:hAnsi="Times New Roman"/>
          <w:sz w:val="24"/>
          <w:szCs w:val="24"/>
        </w:rPr>
        <w:t>Contas Nacionais, Agricultura, Crescimento Económico, Pequena Divergência.</w:t>
      </w:r>
    </w:p>
    <w:p w14:paraId="4E15EBDF" w14:textId="77777777" w:rsidR="001D7099" w:rsidRDefault="001D7099" w:rsidP="008906F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JEL: N13, N33, N53, C67:</w:t>
      </w:r>
    </w:p>
    <w:p w14:paraId="5B82A975" w14:textId="77777777" w:rsidR="001D7099" w:rsidRPr="001D7099" w:rsidRDefault="001D7099" w:rsidP="008906F1">
      <w:pPr>
        <w:spacing w:line="48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EDBB666" w14:textId="77777777" w:rsidR="00C61E76" w:rsidRPr="007C6C88" w:rsidRDefault="00C61E76" w:rsidP="00730434">
      <w:pPr>
        <w:pStyle w:val="Heading1"/>
      </w:pPr>
      <w:bookmarkStart w:id="0" w:name="_Toc131002783"/>
      <w:bookmarkStart w:id="1" w:name="_Toc137755364"/>
      <w:bookmarkStart w:id="2" w:name="_Hlk131002867"/>
      <w:r w:rsidRPr="007C6C88">
        <w:lastRenderedPageBreak/>
        <w:t>Introdução</w:t>
      </w:r>
      <w:bookmarkEnd w:id="0"/>
      <w:bookmarkEnd w:id="1"/>
      <w:r w:rsidRPr="007C6C88">
        <w:t xml:space="preserve"> </w:t>
      </w:r>
    </w:p>
    <w:bookmarkEnd w:id="2"/>
    <w:p w14:paraId="762DCCFD" w14:textId="79593816" w:rsidR="00972306" w:rsidRPr="007C6C88" w:rsidRDefault="00972306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7C6C88">
        <w:rPr>
          <w:rFonts w:ascii="Times New Roman" w:hAnsi="Times New Roman"/>
          <w:sz w:val="24"/>
          <w:szCs w:val="24"/>
        </w:rPr>
        <w:t>Palma e Reis (2019) construíram a primeira série de PIB pc, expresso em valores reais (utilizando os convencionais GK 1990), para o período 1527-1850. A estimativa do PIB foi efetuada calculando a contribuição do setor agrícola através de uma função de procura</w:t>
      </w:r>
      <w:r w:rsidR="006B7406" w:rsidRPr="007C6C88">
        <w:rPr>
          <w:rFonts w:ascii="Times New Roman" w:hAnsi="Times New Roman"/>
          <w:sz w:val="24"/>
          <w:szCs w:val="24"/>
        </w:rPr>
        <w:t xml:space="preserve"> (Allen 2000)</w:t>
      </w:r>
      <w:r w:rsidRPr="007C6C88">
        <w:rPr>
          <w:rFonts w:ascii="Times New Roman" w:hAnsi="Times New Roman"/>
          <w:sz w:val="24"/>
          <w:szCs w:val="24"/>
        </w:rPr>
        <w:t>, e os restante setores da economia por intermédio de proxies</w:t>
      </w:r>
      <w:r w:rsidR="00CD3CBE" w:rsidRPr="001D7099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7C6C88">
        <w:rPr>
          <w:rFonts w:ascii="Times New Roman" w:hAnsi="Times New Roman"/>
          <w:sz w:val="24"/>
          <w:szCs w:val="24"/>
        </w:rPr>
        <w:t xml:space="preserve">. </w:t>
      </w:r>
      <w:r w:rsidR="004334F6" w:rsidRPr="007C6C88">
        <w:rPr>
          <w:rFonts w:ascii="Times New Roman" w:hAnsi="Times New Roman"/>
          <w:sz w:val="24"/>
          <w:szCs w:val="24"/>
        </w:rPr>
        <w:t xml:space="preserve">Também </w:t>
      </w:r>
      <w:r w:rsidR="00B50EA2" w:rsidRPr="007C6C88">
        <w:rPr>
          <w:rFonts w:ascii="Times New Roman" w:hAnsi="Times New Roman"/>
          <w:sz w:val="24"/>
          <w:szCs w:val="24"/>
        </w:rPr>
        <w:t xml:space="preserve">é apresentado </w:t>
      </w:r>
      <w:r w:rsidRPr="007C6C88">
        <w:rPr>
          <w:rFonts w:ascii="Times New Roman" w:hAnsi="Times New Roman"/>
          <w:sz w:val="24"/>
          <w:szCs w:val="24"/>
        </w:rPr>
        <w:t xml:space="preserve">o primeiro índice de salários reais </w:t>
      </w:r>
      <w:r w:rsidR="00AD5031">
        <w:rPr>
          <w:rFonts w:ascii="Times New Roman" w:hAnsi="Times New Roman"/>
          <w:sz w:val="24"/>
          <w:szCs w:val="24"/>
        </w:rPr>
        <w:t xml:space="preserve">(ISR) </w:t>
      </w:r>
      <w:r w:rsidRPr="007C6C88">
        <w:rPr>
          <w:rFonts w:ascii="Times New Roman" w:hAnsi="Times New Roman"/>
          <w:sz w:val="24"/>
          <w:szCs w:val="24"/>
        </w:rPr>
        <w:t xml:space="preserve">com representatividade nacional para o período pré-estatístico, </w:t>
      </w:r>
      <w:r w:rsidR="00D26E5E" w:rsidRPr="007C6C88">
        <w:rPr>
          <w:rFonts w:ascii="Times New Roman" w:hAnsi="Times New Roman"/>
          <w:sz w:val="24"/>
          <w:szCs w:val="24"/>
        </w:rPr>
        <w:t xml:space="preserve">completando os </w:t>
      </w:r>
      <w:r w:rsidRPr="007C6C88">
        <w:rPr>
          <w:rFonts w:ascii="Times New Roman" w:hAnsi="Times New Roman"/>
          <w:sz w:val="24"/>
          <w:szCs w:val="24"/>
        </w:rPr>
        <w:t>índices de preços anteriormente elaborados (Justino 1988; Sousa 2006; Valério 1997)</w:t>
      </w:r>
      <w:r w:rsidR="004334F6" w:rsidRPr="007C6C88">
        <w:rPr>
          <w:rFonts w:ascii="Times New Roman" w:hAnsi="Times New Roman"/>
          <w:sz w:val="24"/>
          <w:szCs w:val="24"/>
        </w:rPr>
        <w:t xml:space="preserve"> e os índices de salários reais urbanos (Madureira 1997; </w:t>
      </w:r>
      <w:r w:rsidR="00A61407" w:rsidRPr="007C6C88">
        <w:rPr>
          <w:rFonts w:ascii="Times New Roman" w:hAnsi="Times New Roman"/>
          <w:sz w:val="24"/>
          <w:szCs w:val="24"/>
        </w:rPr>
        <w:t>Faísca 2012)</w:t>
      </w:r>
      <w:r w:rsidRPr="007C6C88">
        <w:rPr>
          <w:rFonts w:ascii="Times New Roman" w:hAnsi="Times New Roman"/>
          <w:sz w:val="24"/>
          <w:szCs w:val="24"/>
        </w:rPr>
        <w:t xml:space="preserve">. </w:t>
      </w:r>
    </w:p>
    <w:p w14:paraId="561E07C3" w14:textId="0666E1EB" w:rsidR="00972306" w:rsidRPr="007C6C88" w:rsidRDefault="00972306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7C6C88">
        <w:rPr>
          <w:rFonts w:ascii="Times New Roman" w:hAnsi="Times New Roman"/>
          <w:sz w:val="24"/>
          <w:szCs w:val="24"/>
        </w:rPr>
        <w:t xml:space="preserve">O objetivo deste ensaio é </w:t>
      </w:r>
      <w:r w:rsidR="00A61407" w:rsidRPr="007C6C88">
        <w:rPr>
          <w:rFonts w:ascii="Times New Roman" w:hAnsi="Times New Roman"/>
          <w:sz w:val="24"/>
          <w:szCs w:val="24"/>
        </w:rPr>
        <w:t xml:space="preserve">explorar </w:t>
      </w:r>
      <w:r w:rsidR="006B7406" w:rsidRPr="007C6C88">
        <w:rPr>
          <w:rFonts w:ascii="Times New Roman" w:hAnsi="Times New Roman"/>
          <w:sz w:val="24"/>
          <w:szCs w:val="24"/>
        </w:rPr>
        <w:t>o</w:t>
      </w:r>
      <w:r w:rsidR="00A61407" w:rsidRPr="007C6C88">
        <w:rPr>
          <w:rFonts w:ascii="Times New Roman" w:hAnsi="Times New Roman"/>
          <w:sz w:val="24"/>
          <w:szCs w:val="24"/>
        </w:rPr>
        <w:t>s</w:t>
      </w:r>
      <w:r w:rsidR="006B7406" w:rsidRPr="007C6C88">
        <w:rPr>
          <w:rFonts w:ascii="Times New Roman" w:hAnsi="Times New Roman"/>
          <w:sz w:val="24"/>
          <w:szCs w:val="24"/>
        </w:rPr>
        <w:t xml:space="preserve"> dados </w:t>
      </w:r>
      <w:r w:rsidR="00A61407" w:rsidRPr="007C6C88">
        <w:rPr>
          <w:rFonts w:ascii="Times New Roman" w:hAnsi="Times New Roman"/>
          <w:sz w:val="24"/>
          <w:szCs w:val="24"/>
        </w:rPr>
        <w:t>apurados</w:t>
      </w:r>
      <w:r w:rsidR="006B7406" w:rsidRPr="007C6C88">
        <w:rPr>
          <w:rFonts w:ascii="Times New Roman" w:hAnsi="Times New Roman"/>
          <w:sz w:val="24"/>
          <w:szCs w:val="24"/>
        </w:rPr>
        <w:t xml:space="preserve"> por Palma &amp; Reis (2019) por forma a </w:t>
      </w:r>
      <w:r w:rsidR="00AD5031">
        <w:rPr>
          <w:rFonts w:ascii="Times New Roman" w:hAnsi="Times New Roman"/>
          <w:sz w:val="24"/>
          <w:szCs w:val="24"/>
        </w:rPr>
        <w:t>a</w:t>
      </w:r>
      <w:r w:rsidR="006B7406" w:rsidRPr="007C6C88">
        <w:rPr>
          <w:rFonts w:ascii="Times New Roman" w:hAnsi="Times New Roman"/>
          <w:sz w:val="24"/>
          <w:szCs w:val="24"/>
        </w:rPr>
        <w:t xml:space="preserve">profundar a sua análise, em particular, </w:t>
      </w:r>
      <w:r w:rsidRPr="007C6C88">
        <w:rPr>
          <w:rFonts w:ascii="Times New Roman" w:hAnsi="Times New Roman"/>
          <w:sz w:val="24"/>
          <w:szCs w:val="24"/>
        </w:rPr>
        <w:t xml:space="preserve">averiguar a </w:t>
      </w:r>
      <w:r w:rsidR="00B50EA2" w:rsidRPr="007C6C88">
        <w:rPr>
          <w:rFonts w:ascii="Times New Roman" w:hAnsi="Times New Roman"/>
          <w:sz w:val="24"/>
          <w:szCs w:val="24"/>
        </w:rPr>
        <w:t xml:space="preserve">contribuição de cada categoria profissional na formação </w:t>
      </w:r>
      <w:r w:rsidRPr="007C6C88">
        <w:rPr>
          <w:rFonts w:ascii="Times New Roman" w:hAnsi="Times New Roman"/>
          <w:sz w:val="24"/>
          <w:szCs w:val="24"/>
        </w:rPr>
        <w:t xml:space="preserve">do rendimento do trabalho </w:t>
      </w:r>
      <w:r w:rsidR="006B7406" w:rsidRPr="007C6C88">
        <w:rPr>
          <w:rFonts w:ascii="Times New Roman" w:hAnsi="Times New Roman"/>
          <w:sz w:val="24"/>
          <w:szCs w:val="24"/>
        </w:rPr>
        <w:t xml:space="preserve">e </w:t>
      </w:r>
      <w:r w:rsidR="00CD3CBE">
        <w:rPr>
          <w:rFonts w:ascii="Times New Roman" w:hAnsi="Times New Roman"/>
          <w:sz w:val="24"/>
          <w:szCs w:val="24"/>
        </w:rPr>
        <w:t xml:space="preserve">desagregar sectorialmente o </w:t>
      </w:r>
      <w:r w:rsidR="006B7406" w:rsidRPr="007C6C88">
        <w:rPr>
          <w:rFonts w:ascii="Times New Roman" w:hAnsi="Times New Roman"/>
          <w:sz w:val="24"/>
          <w:szCs w:val="24"/>
        </w:rPr>
        <w:t xml:space="preserve">PIB </w:t>
      </w:r>
      <w:r w:rsidRPr="007C6C88">
        <w:rPr>
          <w:rFonts w:ascii="Times New Roman" w:hAnsi="Times New Roman"/>
          <w:sz w:val="24"/>
          <w:szCs w:val="24"/>
        </w:rPr>
        <w:t>para o período 1600-1850</w:t>
      </w:r>
      <w:r w:rsidR="006B7406" w:rsidRPr="007C6C88">
        <w:rPr>
          <w:rFonts w:ascii="Times New Roman" w:hAnsi="Times New Roman"/>
          <w:sz w:val="24"/>
          <w:szCs w:val="24"/>
        </w:rPr>
        <w:t>.</w:t>
      </w:r>
      <w:r w:rsidRPr="007C6C88">
        <w:rPr>
          <w:rFonts w:ascii="Times New Roman" w:hAnsi="Times New Roman"/>
          <w:sz w:val="24"/>
          <w:szCs w:val="24"/>
        </w:rPr>
        <w:t xml:space="preserve"> Inicialmente, </w:t>
      </w:r>
      <w:r w:rsidR="00B50EA2" w:rsidRPr="007C6C88">
        <w:rPr>
          <w:rFonts w:ascii="Times New Roman" w:hAnsi="Times New Roman"/>
          <w:sz w:val="24"/>
          <w:szCs w:val="24"/>
        </w:rPr>
        <w:t>a</w:t>
      </w:r>
      <w:r w:rsidRPr="007C6C88">
        <w:rPr>
          <w:rFonts w:ascii="Times New Roman" w:hAnsi="Times New Roman"/>
          <w:sz w:val="24"/>
          <w:szCs w:val="24"/>
        </w:rPr>
        <w:t xml:space="preserve">borda-se a metodologia e os </w:t>
      </w:r>
      <w:r w:rsidR="00B50EA2" w:rsidRPr="007C6C88">
        <w:rPr>
          <w:rFonts w:ascii="Times New Roman" w:hAnsi="Times New Roman"/>
          <w:sz w:val="24"/>
          <w:szCs w:val="24"/>
        </w:rPr>
        <w:t xml:space="preserve">principais </w:t>
      </w:r>
      <w:r w:rsidRPr="007C6C88">
        <w:rPr>
          <w:rFonts w:ascii="Times New Roman" w:hAnsi="Times New Roman"/>
          <w:sz w:val="24"/>
          <w:szCs w:val="24"/>
        </w:rPr>
        <w:t xml:space="preserve">resultados de Palma </w:t>
      </w:r>
      <w:r w:rsidR="00A61407" w:rsidRPr="007C6C88">
        <w:rPr>
          <w:rFonts w:ascii="Times New Roman" w:hAnsi="Times New Roman"/>
          <w:sz w:val="24"/>
          <w:szCs w:val="24"/>
        </w:rPr>
        <w:t>&amp;</w:t>
      </w:r>
      <w:r w:rsidRPr="007C6C88">
        <w:rPr>
          <w:rFonts w:ascii="Times New Roman" w:hAnsi="Times New Roman"/>
          <w:sz w:val="24"/>
          <w:szCs w:val="24"/>
        </w:rPr>
        <w:t xml:space="preserve"> Reis (2019). De seguida, apresenta-se a metodologia </w:t>
      </w:r>
      <w:r w:rsidR="00B50EA2" w:rsidRPr="007C6C88">
        <w:rPr>
          <w:rFonts w:ascii="Times New Roman" w:hAnsi="Times New Roman"/>
          <w:sz w:val="24"/>
          <w:szCs w:val="24"/>
        </w:rPr>
        <w:t xml:space="preserve">utilizada </w:t>
      </w:r>
      <w:r w:rsidRPr="007C6C88">
        <w:rPr>
          <w:rFonts w:ascii="Times New Roman" w:hAnsi="Times New Roman"/>
          <w:sz w:val="24"/>
          <w:szCs w:val="24"/>
        </w:rPr>
        <w:t xml:space="preserve">para decompor </w:t>
      </w:r>
      <w:r w:rsidR="00AD5031">
        <w:rPr>
          <w:rFonts w:ascii="Times New Roman" w:hAnsi="Times New Roman"/>
          <w:sz w:val="24"/>
          <w:szCs w:val="24"/>
        </w:rPr>
        <w:t xml:space="preserve">o ISR pelos seus determinantes e por </w:t>
      </w:r>
      <w:r w:rsidRPr="007C6C88">
        <w:rPr>
          <w:rFonts w:ascii="Times New Roman" w:hAnsi="Times New Roman"/>
          <w:sz w:val="24"/>
          <w:szCs w:val="24"/>
        </w:rPr>
        <w:t xml:space="preserve">setores económicos. Finalmente, </w:t>
      </w:r>
      <w:r w:rsidR="006B7406" w:rsidRPr="007C6C88">
        <w:rPr>
          <w:rFonts w:ascii="Times New Roman" w:hAnsi="Times New Roman"/>
          <w:sz w:val="24"/>
          <w:szCs w:val="24"/>
        </w:rPr>
        <w:t xml:space="preserve">apresentam-se e discutem-se </w:t>
      </w:r>
      <w:r w:rsidRPr="007C6C88">
        <w:rPr>
          <w:rFonts w:ascii="Times New Roman" w:hAnsi="Times New Roman"/>
          <w:sz w:val="24"/>
          <w:szCs w:val="24"/>
        </w:rPr>
        <w:t>os resultados</w:t>
      </w:r>
      <w:r w:rsidR="00AD5031">
        <w:rPr>
          <w:rFonts w:ascii="Times New Roman" w:hAnsi="Times New Roman"/>
          <w:sz w:val="24"/>
          <w:szCs w:val="24"/>
        </w:rPr>
        <w:t xml:space="preserve">, com enfase na categoria RNAG, cujo contributo foi decisivo na morfologia do desempenho económico português nesta cronologia. </w:t>
      </w:r>
      <w:r w:rsidRPr="007C6C88">
        <w:rPr>
          <w:rFonts w:ascii="Times New Roman" w:hAnsi="Times New Roman"/>
          <w:sz w:val="24"/>
          <w:szCs w:val="24"/>
        </w:rPr>
        <w:t xml:space="preserve"> </w:t>
      </w:r>
    </w:p>
    <w:p w14:paraId="24DBDFBC" w14:textId="79B6F632" w:rsidR="00F26883" w:rsidRPr="007C6C88" w:rsidRDefault="00F26883" w:rsidP="00AD5031">
      <w:pPr>
        <w:jc w:val="left"/>
        <w:rPr>
          <w:rFonts w:ascii="Times New Roman" w:hAnsi="Times New Roman"/>
          <w:sz w:val="22"/>
          <w:szCs w:val="22"/>
        </w:rPr>
      </w:pPr>
    </w:p>
    <w:p w14:paraId="32A1523A" w14:textId="473F6000" w:rsidR="00F26883" w:rsidRPr="001D7099" w:rsidRDefault="00C61E76" w:rsidP="00730434">
      <w:pPr>
        <w:pStyle w:val="Heading1"/>
      </w:pPr>
      <w:bookmarkStart w:id="3" w:name="_Ref112597578"/>
      <w:bookmarkStart w:id="4" w:name="_Toc131002784"/>
      <w:bookmarkStart w:id="5" w:name="_Toc137755365"/>
      <w:r w:rsidRPr="001D7099">
        <w:t xml:space="preserve">Séries de PIB e PAB no Período Pré-Estatístico </w:t>
      </w:r>
      <w:bookmarkEnd w:id="3"/>
      <w:r w:rsidRPr="001D7099">
        <w:t>(1600-1850)</w:t>
      </w:r>
      <w:bookmarkEnd w:id="4"/>
      <w:bookmarkEnd w:id="5"/>
    </w:p>
    <w:p w14:paraId="0D88ED24" w14:textId="5A703F66" w:rsidR="00B376A8" w:rsidRPr="001D7099" w:rsidRDefault="00B376A8" w:rsidP="00730434">
      <w:pPr>
        <w:pStyle w:val="Heading1"/>
        <w:numPr>
          <w:ilvl w:val="1"/>
          <w:numId w:val="22"/>
        </w:numPr>
      </w:pPr>
      <w:bookmarkStart w:id="6" w:name="_Ref133245649"/>
      <w:bookmarkStart w:id="7" w:name="_Toc137755366"/>
      <w:r w:rsidRPr="001D7099">
        <w:t>Metodologia</w:t>
      </w:r>
      <w:bookmarkEnd w:id="6"/>
      <w:bookmarkEnd w:id="7"/>
    </w:p>
    <w:p w14:paraId="4D76DB2F" w14:textId="54839372" w:rsidR="002F0836" w:rsidRPr="001D7099" w:rsidRDefault="00EC78E5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O elemento central da </w:t>
      </w:r>
      <w:r w:rsidR="00943BA7" w:rsidRPr="001D7099">
        <w:rPr>
          <w:rFonts w:ascii="Times New Roman" w:hAnsi="Times New Roman"/>
          <w:sz w:val="24"/>
          <w:szCs w:val="24"/>
        </w:rPr>
        <w:t xml:space="preserve">aplicação </w:t>
      </w:r>
      <w:r w:rsidR="00253DC6" w:rsidRPr="001D7099">
        <w:rPr>
          <w:rFonts w:ascii="Times New Roman" w:hAnsi="Times New Roman"/>
          <w:sz w:val="24"/>
          <w:szCs w:val="24"/>
        </w:rPr>
        <w:t xml:space="preserve">da função de procura </w:t>
      </w:r>
      <w:r w:rsidR="00122ABE" w:rsidRPr="001D7099">
        <w:rPr>
          <w:rFonts w:ascii="Times New Roman" w:hAnsi="Times New Roman"/>
          <w:sz w:val="24"/>
          <w:szCs w:val="24"/>
        </w:rPr>
        <w:t xml:space="preserve">na avaliação do PAB </w:t>
      </w:r>
      <w:r w:rsidR="008F7624" w:rsidRPr="001D7099">
        <w:rPr>
          <w:rFonts w:ascii="Times New Roman" w:hAnsi="Times New Roman"/>
          <w:sz w:val="24"/>
          <w:szCs w:val="24"/>
        </w:rPr>
        <w:t xml:space="preserve">é </w:t>
      </w:r>
      <w:r w:rsidR="00CF1083" w:rsidRPr="001D7099">
        <w:rPr>
          <w:rFonts w:ascii="Times New Roman" w:hAnsi="Times New Roman"/>
          <w:sz w:val="24"/>
          <w:szCs w:val="24"/>
        </w:rPr>
        <w:t xml:space="preserve">a estimativa </w:t>
      </w:r>
      <w:r w:rsidR="008F7624" w:rsidRPr="001D7099">
        <w:rPr>
          <w:rFonts w:ascii="Times New Roman" w:hAnsi="Times New Roman"/>
          <w:sz w:val="24"/>
          <w:szCs w:val="24"/>
        </w:rPr>
        <w:t>do rendimento</w:t>
      </w:r>
      <w:r w:rsidR="00122ABE" w:rsidRPr="001D7099">
        <w:rPr>
          <w:rFonts w:ascii="Times New Roman" w:hAnsi="Times New Roman"/>
          <w:sz w:val="24"/>
          <w:szCs w:val="24"/>
        </w:rPr>
        <w:t>. Conjugando rendimento e series de preços (</w:t>
      </w:r>
      <w:r w:rsidR="00253DC6" w:rsidRPr="001D7099">
        <w:rPr>
          <w:rFonts w:ascii="Times New Roman" w:hAnsi="Times New Roman"/>
          <w:sz w:val="24"/>
          <w:szCs w:val="24"/>
        </w:rPr>
        <w:t>agrícolas e não agrícolas</w:t>
      </w:r>
      <w:r w:rsidR="00122ABE" w:rsidRPr="001D7099">
        <w:rPr>
          <w:rFonts w:ascii="Times New Roman" w:hAnsi="Times New Roman"/>
          <w:sz w:val="24"/>
          <w:szCs w:val="24"/>
        </w:rPr>
        <w:t>)</w:t>
      </w:r>
      <w:r w:rsidR="0080409F" w:rsidRPr="001D7099">
        <w:rPr>
          <w:rFonts w:ascii="Times New Roman" w:hAnsi="Times New Roman"/>
          <w:sz w:val="24"/>
          <w:szCs w:val="24"/>
        </w:rPr>
        <w:t>,</w:t>
      </w:r>
      <w:r w:rsidR="00122ABE" w:rsidRPr="001D7099">
        <w:rPr>
          <w:rFonts w:ascii="Times New Roman" w:hAnsi="Times New Roman"/>
          <w:sz w:val="24"/>
          <w:szCs w:val="24"/>
        </w:rPr>
        <w:t xml:space="preserve"> </w:t>
      </w:r>
      <w:r w:rsidR="00987A42" w:rsidRPr="001D7099">
        <w:rPr>
          <w:rFonts w:ascii="Times New Roman" w:hAnsi="Times New Roman"/>
          <w:sz w:val="24"/>
          <w:szCs w:val="24"/>
        </w:rPr>
        <w:t xml:space="preserve">através das </w:t>
      </w:r>
      <w:r w:rsidR="00122ABE" w:rsidRPr="001D7099">
        <w:rPr>
          <w:rFonts w:ascii="Times New Roman" w:hAnsi="Times New Roman"/>
          <w:sz w:val="24"/>
          <w:szCs w:val="24"/>
        </w:rPr>
        <w:t xml:space="preserve">respetivas elasticidades, </w:t>
      </w:r>
      <w:r w:rsidR="00CD3CBE">
        <w:rPr>
          <w:rFonts w:ascii="Times New Roman" w:hAnsi="Times New Roman"/>
          <w:sz w:val="24"/>
          <w:szCs w:val="24"/>
        </w:rPr>
        <w:t xml:space="preserve">obtém-se </w:t>
      </w:r>
      <w:r w:rsidR="00987A42" w:rsidRPr="001D7099">
        <w:rPr>
          <w:rFonts w:ascii="Times New Roman" w:hAnsi="Times New Roman"/>
          <w:sz w:val="24"/>
          <w:szCs w:val="24"/>
        </w:rPr>
        <w:t>uma estimativa de</w:t>
      </w:r>
      <w:r w:rsidR="00122ABE" w:rsidRPr="001D7099">
        <w:rPr>
          <w:rFonts w:ascii="Times New Roman" w:hAnsi="Times New Roman"/>
          <w:sz w:val="24"/>
          <w:szCs w:val="24"/>
        </w:rPr>
        <w:t xml:space="preserve"> consumo </w:t>
      </w:r>
      <w:r w:rsidR="00972306" w:rsidRPr="001D7099">
        <w:rPr>
          <w:rFonts w:ascii="Times New Roman" w:hAnsi="Times New Roman"/>
          <w:sz w:val="24"/>
          <w:szCs w:val="24"/>
        </w:rPr>
        <w:t xml:space="preserve">de bens agrícolas </w:t>
      </w:r>
      <w:r w:rsidR="00122ABE" w:rsidRPr="001D7099">
        <w:rPr>
          <w:rFonts w:ascii="Times New Roman" w:hAnsi="Times New Roman"/>
          <w:sz w:val="24"/>
          <w:szCs w:val="24"/>
        </w:rPr>
        <w:t xml:space="preserve">pc que, </w:t>
      </w:r>
      <w:r w:rsidR="00122ABE" w:rsidRPr="001D7099">
        <w:rPr>
          <w:rFonts w:ascii="Times New Roman" w:hAnsi="Times New Roman"/>
          <w:sz w:val="24"/>
          <w:szCs w:val="24"/>
        </w:rPr>
        <w:lastRenderedPageBreak/>
        <w:t>sob determinados pressupostos, é igualad</w:t>
      </w:r>
      <w:r w:rsidR="001761D8" w:rsidRPr="001D7099">
        <w:rPr>
          <w:rFonts w:ascii="Times New Roman" w:hAnsi="Times New Roman"/>
          <w:sz w:val="24"/>
          <w:szCs w:val="24"/>
        </w:rPr>
        <w:t>a</w:t>
      </w:r>
      <w:r w:rsidR="00122ABE" w:rsidRPr="001D7099">
        <w:rPr>
          <w:rFonts w:ascii="Times New Roman" w:hAnsi="Times New Roman"/>
          <w:sz w:val="24"/>
          <w:szCs w:val="24"/>
        </w:rPr>
        <w:t xml:space="preserve"> </w:t>
      </w:r>
      <w:r w:rsidR="002F0836" w:rsidRPr="001D7099">
        <w:rPr>
          <w:rFonts w:ascii="Times New Roman" w:hAnsi="Times New Roman"/>
          <w:sz w:val="24"/>
          <w:szCs w:val="24"/>
        </w:rPr>
        <w:t>à produção</w:t>
      </w:r>
      <w:r w:rsidR="00253DC6" w:rsidRPr="001D7099">
        <w:rPr>
          <w:rFonts w:ascii="Times New Roman" w:hAnsi="Times New Roman"/>
          <w:sz w:val="24"/>
          <w:szCs w:val="24"/>
        </w:rPr>
        <w:t xml:space="preserve">. </w:t>
      </w:r>
      <w:r w:rsidR="00CF1083" w:rsidRPr="001D7099">
        <w:rPr>
          <w:rFonts w:ascii="Times New Roman" w:hAnsi="Times New Roman"/>
          <w:sz w:val="24"/>
          <w:szCs w:val="24"/>
        </w:rPr>
        <w:t xml:space="preserve">Importa, portanto, </w:t>
      </w:r>
      <w:r w:rsidR="00987A42" w:rsidRPr="001D7099">
        <w:rPr>
          <w:rFonts w:ascii="Times New Roman" w:hAnsi="Times New Roman"/>
          <w:sz w:val="24"/>
          <w:szCs w:val="24"/>
        </w:rPr>
        <w:t>explorar</w:t>
      </w:r>
      <w:r w:rsidR="00972306" w:rsidRPr="001D7099">
        <w:rPr>
          <w:rFonts w:ascii="Times New Roman" w:hAnsi="Times New Roman"/>
          <w:sz w:val="24"/>
          <w:szCs w:val="24"/>
        </w:rPr>
        <w:t xml:space="preserve"> a </w:t>
      </w:r>
      <w:r w:rsidR="00987A42" w:rsidRPr="001D7099">
        <w:rPr>
          <w:rFonts w:ascii="Times New Roman" w:hAnsi="Times New Roman"/>
          <w:sz w:val="24"/>
          <w:szCs w:val="24"/>
        </w:rPr>
        <w:t>metodologia</w:t>
      </w:r>
      <w:r w:rsidR="00972306" w:rsidRPr="001D7099">
        <w:rPr>
          <w:rFonts w:ascii="Times New Roman" w:hAnsi="Times New Roman"/>
          <w:sz w:val="24"/>
          <w:szCs w:val="24"/>
        </w:rPr>
        <w:t xml:space="preserve"> seguida na </w:t>
      </w:r>
      <w:r w:rsidR="00CF1083" w:rsidRPr="001D7099">
        <w:rPr>
          <w:rFonts w:ascii="Times New Roman" w:hAnsi="Times New Roman"/>
          <w:sz w:val="24"/>
          <w:szCs w:val="24"/>
        </w:rPr>
        <w:t>estimativa</w:t>
      </w:r>
      <w:r w:rsidR="002F0836" w:rsidRPr="001D7099">
        <w:rPr>
          <w:rFonts w:ascii="Times New Roman" w:hAnsi="Times New Roman"/>
          <w:sz w:val="24"/>
          <w:szCs w:val="24"/>
        </w:rPr>
        <w:t xml:space="preserve"> do rendimento</w:t>
      </w:r>
      <w:r w:rsidR="00CF1083" w:rsidRPr="001D7099">
        <w:rPr>
          <w:rFonts w:ascii="Times New Roman" w:hAnsi="Times New Roman"/>
          <w:sz w:val="24"/>
          <w:szCs w:val="24"/>
        </w:rPr>
        <w:t xml:space="preserve">. </w:t>
      </w:r>
    </w:p>
    <w:p w14:paraId="55177BA7" w14:textId="4AA395A8" w:rsidR="00B50EA2" w:rsidRPr="001D7099" w:rsidRDefault="007C7D55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O primeiro passo é o cálculo de </w:t>
      </w:r>
      <w:r w:rsidR="00A14F28" w:rsidRPr="001D7099">
        <w:rPr>
          <w:rFonts w:ascii="Times New Roman" w:hAnsi="Times New Roman"/>
          <w:sz w:val="24"/>
          <w:szCs w:val="24"/>
        </w:rPr>
        <w:t>um índice de salários jornaleiros</w:t>
      </w:r>
      <w:r w:rsidR="0080409F" w:rsidRPr="001D7099">
        <w:rPr>
          <w:rFonts w:ascii="Times New Roman" w:hAnsi="Times New Roman"/>
          <w:sz w:val="24"/>
          <w:szCs w:val="24"/>
        </w:rPr>
        <w:t xml:space="preserve"> (ISJ)</w:t>
      </w:r>
      <w:r w:rsidR="00A14F28" w:rsidRPr="001D7099">
        <w:rPr>
          <w:rFonts w:ascii="Times New Roman" w:hAnsi="Times New Roman"/>
          <w:sz w:val="24"/>
          <w:szCs w:val="24"/>
        </w:rPr>
        <w:t xml:space="preserve">. Esse índice recorre às </w:t>
      </w:r>
      <w:r w:rsidR="008F7624" w:rsidRPr="001D7099">
        <w:rPr>
          <w:rFonts w:ascii="Times New Roman" w:hAnsi="Times New Roman"/>
          <w:sz w:val="24"/>
          <w:szCs w:val="24"/>
        </w:rPr>
        <w:t xml:space="preserve">fontes </w:t>
      </w:r>
      <w:r w:rsidR="00CF1083" w:rsidRPr="001D7099">
        <w:rPr>
          <w:rFonts w:ascii="Times New Roman" w:hAnsi="Times New Roman"/>
          <w:sz w:val="24"/>
          <w:szCs w:val="24"/>
        </w:rPr>
        <w:t xml:space="preserve">de </w:t>
      </w:r>
      <w:r w:rsidR="008F7624" w:rsidRPr="001D7099">
        <w:rPr>
          <w:rFonts w:ascii="Times New Roman" w:hAnsi="Times New Roman"/>
          <w:sz w:val="24"/>
          <w:szCs w:val="24"/>
        </w:rPr>
        <w:t xml:space="preserve">salários </w:t>
      </w:r>
      <w:r w:rsidR="00CD3CBE">
        <w:rPr>
          <w:rFonts w:ascii="Times New Roman" w:hAnsi="Times New Roman"/>
          <w:sz w:val="24"/>
          <w:szCs w:val="24"/>
        </w:rPr>
        <w:t>nominais do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2F0836" w:rsidRPr="001D7099">
        <w:rPr>
          <w:rFonts w:ascii="Times New Roman" w:hAnsi="Times New Roman"/>
          <w:sz w:val="24"/>
          <w:szCs w:val="24"/>
        </w:rPr>
        <w:t>p</w:t>
      </w:r>
      <w:r w:rsidR="008F7624" w:rsidRPr="001D7099">
        <w:rPr>
          <w:rFonts w:ascii="Times New Roman" w:hAnsi="Times New Roman"/>
          <w:sz w:val="24"/>
          <w:szCs w:val="24"/>
        </w:rPr>
        <w:t xml:space="preserve">rojeto PWR. </w:t>
      </w:r>
      <w:r w:rsidR="0080409F" w:rsidRPr="001D7099">
        <w:rPr>
          <w:rFonts w:ascii="Times New Roman" w:hAnsi="Times New Roman"/>
          <w:sz w:val="24"/>
          <w:szCs w:val="24"/>
        </w:rPr>
        <w:t>Foram consideradas três categorias profissionais na agregação das fontes: Urbana, Rural não Agrícola (RNAG) e Agrícola</w:t>
      </w:r>
      <w:r w:rsidR="00122ABE" w:rsidRPr="001D7099">
        <w:rPr>
          <w:rFonts w:ascii="Times New Roman" w:hAnsi="Times New Roman"/>
          <w:sz w:val="24"/>
          <w:szCs w:val="24"/>
        </w:rPr>
        <w:t>.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CF1083" w:rsidRPr="001D7099">
        <w:rPr>
          <w:rFonts w:ascii="Times New Roman" w:hAnsi="Times New Roman"/>
          <w:sz w:val="24"/>
          <w:szCs w:val="24"/>
        </w:rPr>
        <w:t>Os salários da categoria profissional urbana foram associados às fontes d</w:t>
      </w:r>
      <w:r w:rsidRPr="001D7099">
        <w:rPr>
          <w:rFonts w:ascii="Times New Roman" w:hAnsi="Times New Roman"/>
          <w:sz w:val="24"/>
          <w:szCs w:val="24"/>
        </w:rPr>
        <w:t>e</w:t>
      </w:r>
      <w:r w:rsidR="00CF1083" w:rsidRPr="001D7099">
        <w:rPr>
          <w:rFonts w:ascii="Times New Roman" w:hAnsi="Times New Roman"/>
          <w:sz w:val="24"/>
          <w:szCs w:val="24"/>
        </w:rPr>
        <w:t xml:space="preserve"> salários dos trabalhadores qualificados da construção civil </w:t>
      </w:r>
      <w:r w:rsidR="002F0836" w:rsidRPr="001D7099">
        <w:rPr>
          <w:rFonts w:ascii="Times New Roman" w:hAnsi="Times New Roman"/>
          <w:sz w:val="24"/>
          <w:szCs w:val="24"/>
        </w:rPr>
        <w:t xml:space="preserve">(desprezando a componente agrícola do trabalho urbano) </w:t>
      </w:r>
      <w:r w:rsidR="00CF1083" w:rsidRPr="001D7099">
        <w:rPr>
          <w:rFonts w:ascii="Times New Roman" w:hAnsi="Times New Roman"/>
          <w:sz w:val="24"/>
          <w:szCs w:val="24"/>
        </w:rPr>
        <w:t>e os da categoria profissional agrícola às fontes dos salários dos trabalhadores não qualificados da construção (serventes, ajudantes)</w:t>
      </w:r>
      <w:r w:rsidR="007534ED" w:rsidRPr="001D7099">
        <w:rPr>
          <w:rFonts w:ascii="Times New Roman" w:hAnsi="Times New Roman"/>
          <w:sz w:val="24"/>
          <w:szCs w:val="24"/>
        </w:rPr>
        <w:t xml:space="preserve">. </w:t>
      </w:r>
      <w:r w:rsidR="006923A5">
        <w:rPr>
          <w:rFonts w:ascii="Times New Roman" w:hAnsi="Times New Roman"/>
          <w:sz w:val="24"/>
          <w:szCs w:val="24"/>
        </w:rPr>
        <w:t xml:space="preserve">Refira-se </w:t>
      </w:r>
      <w:r w:rsidR="006923A5" w:rsidRPr="001D7099">
        <w:rPr>
          <w:rFonts w:ascii="Times New Roman" w:hAnsi="Times New Roman"/>
          <w:sz w:val="24"/>
          <w:szCs w:val="24"/>
        </w:rPr>
        <w:t xml:space="preserve">que as fontes se referem apenas a salários masculinos e que não foi </w:t>
      </w:r>
      <w:r w:rsidR="006923A5">
        <w:rPr>
          <w:rFonts w:ascii="Times New Roman" w:hAnsi="Times New Roman"/>
          <w:sz w:val="24"/>
          <w:szCs w:val="24"/>
        </w:rPr>
        <w:t xml:space="preserve">efetuada uma </w:t>
      </w:r>
      <w:r w:rsidR="006923A5" w:rsidRPr="001D7099">
        <w:rPr>
          <w:rFonts w:ascii="Times New Roman" w:hAnsi="Times New Roman"/>
          <w:sz w:val="24"/>
          <w:szCs w:val="24"/>
        </w:rPr>
        <w:t>distinção entre população ativa e população total.</w:t>
      </w:r>
      <w:r w:rsidR="006923A5">
        <w:rPr>
          <w:rFonts w:ascii="Times New Roman" w:hAnsi="Times New Roman"/>
          <w:sz w:val="24"/>
          <w:szCs w:val="24"/>
        </w:rPr>
        <w:t xml:space="preserve"> </w:t>
      </w:r>
      <w:r w:rsidR="007534ED" w:rsidRPr="001D7099">
        <w:rPr>
          <w:rFonts w:ascii="Times New Roman" w:hAnsi="Times New Roman"/>
          <w:sz w:val="24"/>
          <w:szCs w:val="24"/>
        </w:rPr>
        <w:t xml:space="preserve">Na ausência de fontes diretas para a categoria RNAG, </w:t>
      </w:r>
      <w:r w:rsidR="00CF1083" w:rsidRPr="001D7099">
        <w:rPr>
          <w:rFonts w:ascii="Times New Roman" w:hAnsi="Times New Roman"/>
          <w:sz w:val="24"/>
          <w:szCs w:val="24"/>
        </w:rPr>
        <w:t xml:space="preserve">Palma </w:t>
      </w:r>
      <w:r w:rsidR="0080409F" w:rsidRPr="001D7099">
        <w:rPr>
          <w:rFonts w:ascii="Times New Roman" w:hAnsi="Times New Roman"/>
          <w:sz w:val="24"/>
          <w:szCs w:val="24"/>
        </w:rPr>
        <w:t xml:space="preserve">&amp; </w:t>
      </w:r>
      <w:r w:rsidR="00CF1083" w:rsidRPr="001D7099">
        <w:rPr>
          <w:rFonts w:ascii="Times New Roman" w:hAnsi="Times New Roman"/>
          <w:sz w:val="24"/>
          <w:szCs w:val="24"/>
        </w:rPr>
        <w:t xml:space="preserve">Reis (2019) </w:t>
      </w:r>
      <w:r w:rsidR="006923A5">
        <w:rPr>
          <w:rFonts w:ascii="Times New Roman" w:hAnsi="Times New Roman"/>
          <w:sz w:val="24"/>
          <w:szCs w:val="24"/>
        </w:rPr>
        <w:t xml:space="preserve">estimam </w:t>
      </w:r>
      <w:r w:rsidR="00D406A4">
        <w:rPr>
          <w:rFonts w:ascii="Times New Roman" w:hAnsi="Times New Roman"/>
          <w:sz w:val="24"/>
          <w:szCs w:val="24"/>
        </w:rPr>
        <w:t xml:space="preserve">os </w:t>
      </w:r>
      <w:r w:rsidR="00CF1083" w:rsidRPr="001D7099">
        <w:rPr>
          <w:rFonts w:ascii="Times New Roman" w:hAnsi="Times New Roman"/>
          <w:sz w:val="24"/>
          <w:szCs w:val="24"/>
        </w:rPr>
        <w:t xml:space="preserve">salários nominais </w:t>
      </w:r>
      <w:r w:rsidR="0080409F" w:rsidRPr="001D7099">
        <w:rPr>
          <w:rFonts w:ascii="Times New Roman" w:hAnsi="Times New Roman"/>
          <w:sz w:val="24"/>
          <w:szCs w:val="24"/>
        </w:rPr>
        <w:t xml:space="preserve">dessa categoria profissional </w:t>
      </w:r>
      <w:r w:rsidR="002F0836" w:rsidRPr="001D7099">
        <w:rPr>
          <w:rFonts w:ascii="Times New Roman" w:hAnsi="Times New Roman"/>
          <w:sz w:val="24"/>
          <w:szCs w:val="24"/>
        </w:rPr>
        <w:t xml:space="preserve">através </w:t>
      </w:r>
      <w:r w:rsidR="00CF1083" w:rsidRPr="001D7099">
        <w:rPr>
          <w:rFonts w:ascii="Times New Roman" w:hAnsi="Times New Roman"/>
          <w:sz w:val="24"/>
          <w:szCs w:val="24"/>
        </w:rPr>
        <w:t xml:space="preserve">da média </w:t>
      </w:r>
      <w:r w:rsidR="0080409F" w:rsidRPr="001D7099">
        <w:rPr>
          <w:rFonts w:ascii="Times New Roman" w:hAnsi="Times New Roman"/>
          <w:sz w:val="24"/>
          <w:szCs w:val="24"/>
        </w:rPr>
        <w:t xml:space="preserve">entre </w:t>
      </w:r>
      <w:r w:rsidR="00CF1083" w:rsidRPr="001D7099">
        <w:rPr>
          <w:rFonts w:ascii="Times New Roman" w:hAnsi="Times New Roman"/>
          <w:sz w:val="24"/>
          <w:szCs w:val="24"/>
        </w:rPr>
        <w:t xml:space="preserve">os salários qualificados </w:t>
      </w:r>
      <w:r w:rsidR="0080409F" w:rsidRPr="001D7099">
        <w:rPr>
          <w:rFonts w:ascii="Times New Roman" w:hAnsi="Times New Roman"/>
          <w:sz w:val="24"/>
          <w:szCs w:val="24"/>
        </w:rPr>
        <w:t xml:space="preserve"> </w:t>
      </w:r>
      <w:r w:rsidR="00CF1083" w:rsidRPr="001D7099">
        <w:rPr>
          <w:rFonts w:ascii="Times New Roman" w:hAnsi="Times New Roman"/>
          <w:sz w:val="24"/>
          <w:szCs w:val="24"/>
        </w:rPr>
        <w:t>e não qualificados</w:t>
      </w:r>
      <w:r w:rsidR="00D406A4">
        <w:rPr>
          <w:rFonts w:ascii="Times New Roman" w:hAnsi="Times New Roman"/>
          <w:sz w:val="24"/>
          <w:szCs w:val="24"/>
        </w:rPr>
        <w:t>.</w:t>
      </w:r>
    </w:p>
    <w:p w14:paraId="1CCD4335" w14:textId="77777777" w:rsidR="006923A5" w:rsidRPr="001D7099" w:rsidRDefault="002F0836" w:rsidP="006923A5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As séries de salários destas três categorias profissionais foram calculadas </w:t>
      </w:r>
      <w:r w:rsidR="007C7D55" w:rsidRPr="001D7099">
        <w:rPr>
          <w:rFonts w:ascii="Times New Roman" w:hAnsi="Times New Roman"/>
          <w:sz w:val="24"/>
          <w:szCs w:val="24"/>
        </w:rPr>
        <w:t>para</w:t>
      </w:r>
      <w:r w:rsidRPr="001D7099">
        <w:rPr>
          <w:rFonts w:ascii="Times New Roman" w:hAnsi="Times New Roman"/>
          <w:sz w:val="24"/>
          <w:szCs w:val="24"/>
        </w:rPr>
        <w:t xml:space="preserve"> quatro regiões </w:t>
      </w:r>
      <w:r w:rsidR="0080409F" w:rsidRPr="001D7099">
        <w:rPr>
          <w:rFonts w:ascii="Times New Roman" w:hAnsi="Times New Roman"/>
          <w:sz w:val="24"/>
          <w:szCs w:val="24"/>
        </w:rPr>
        <w:t xml:space="preserve">económicas </w:t>
      </w:r>
      <w:r w:rsidRPr="001D7099">
        <w:rPr>
          <w:rFonts w:ascii="Times New Roman" w:hAnsi="Times New Roman"/>
          <w:sz w:val="24"/>
          <w:szCs w:val="24"/>
        </w:rPr>
        <w:t xml:space="preserve">(Lisboa, Évora, Coimbra e Porto, e respetivos </w:t>
      </w:r>
      <w:r w:rsidRPr="006923A5">
        <w:rPr>
          <w:rFonts w:ascii="Times New Roman" w:hAnsi="Times New Roman"/>
          <w:sz w:val="24"/>
          <w:szCs w:val="24"/>
        </w:rPr>
        <w:t>hinterlands</w:t>
      </w:r>
      <w:r w:rsidRPr="001D7099">
        <w:rPr>
          <w:rFonts w:ascii="Times New Roman" w:hAnsi="Times New Roman"/>
          <w:sz w:val="24"/>
          <w:szCs w:val="24"/>
        </w:rPr>
        <w:t xml:space="preserve">) e ponderadas pelo peso populacional de cada </w:t>
      </w:r>
      <w:r w:rsidR="002572F5" w:rsidRPr="001D7099">
        <w:rPr>
          <w:rFonts w:ascii="Times New Roman" w:hAnsi="Times New Roman"/>
          <w:sz w:val="24"/>
          <w:szCs w:val="24"/>
        </w:rPr>
        <w:t xml:space="preserve">região </w:t>
      </w:r>
      <w:r w:rsidR="001761D8" w:rsidRPr="001D7099">
        <w:rPr>
          <w:rFonts w:ascii="Times New Roman" w:hAnsi="Times New Roman"/>
          <w:sz w:val="24"/>
          <w:szCs w:val="24"/>
        </w:rPr>
        <w:t>(</w:t>
      </w:r>
      <w:r w:rsidR="002572F5" w:rsidRPr="001D7099">
        <w:rPr>
          <w:rFonts w:ascii="Times New Roman" w:hAnsi="Times New Roman"/>
          <w:sz w:val="24"/>
          <w:szCs w:val="24"/>
        </w:rPr>
        <w:t xml:space="preserve">Palma, Reis </w:t>
      </w:r>
      <w:r w:rsidR="001761D8" w:rsidRPr="001D7099">
        <w:rPr>
          <w:rFonts w:ascii="Times New Roman" w:hAnsi="Times New Roman"/>
          <w:sz w:val="24"/>
          <w:szCs w:val="24"/>
        </w:rPr>
        <w:t>&amp;</w:t>
      </w:r>
      <w:r w:rsidR="002572F5" w:rsidRPr="001D7099">
        <w:rPr>
          <w:rFonts w:ascii="Times New Roman" w:hAnsi="Times New Roman"/>
          <w:sz w:val="24"/>
          <w:szCs w:val="24"/>
        </w:rPr>
        <w:t xml:space="preserve"> Zhang 2017)</w:t>
      </w:r>
      <w:r w:rsidRPr="001D7099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1D7099">
        <w:rPr>
          <w:rFonts w:ascii="Times New Roman" w:hAnsi="Times New Roman"/>
          <w:sz w:val="24"/>
          <w:szCs w:val="24"/>
        </w:rPr>
        <w:t xml:space="preserve">. </w:t>
      </w:r>
      <w:r w:rsidR="002572F5" w:rsidRPr="001D7099">
        <w:rPr>
          <w:rFonts w:ascii="Times New Roman" w:hAnsi="Times New Roman"/>
          <w:sz w:val="24"/>
          <w:szCs w:val="24"/>
        </w:rPr>
        <w:t xml:space="preserve">A evolução do peso </w:t>
      </w:r>
      <w:r w:rsidR="006923A5">
        <w:rPr>
          <w:rFonts w:ascii="Times New Roman" w:hAnsi="Times New Roman"/>
          <w:sz w:val="24"/>
          <w:szCs w:val="24"/>
        </w:rPr>
        <w:t xml:space="preserve">relativo na população </w:t>
      </w:r>
      <w:r w:rsidR="002572F5" w:rsidRPr="001D7099">
        <w:rPr>
          <w:rFonts w:ascii="Times New Roman" w:hAnsi="Times New Roman"/>
          <w:sz w:val="24"/>
          <w:szCs w:val="24"/>
        </w:rPr>
        <w:t xml:space="preserve">destes </w:t>
      </w:r>
      <w:r w:rsidR="00B50EA2" w:rsidRPr="001D7099">
        <w:rPr>
          <w:rFonts w:ascii="Times New Roman" w:hAnsi="Times New Roman"/>
          <w:sz w:val="24"/>
          <w:szCs w:val="24"/>
        </w:rPr>
        <w:t xml:space="preserve">três </w:t>
      </w:r>
      <w:r w:rsidR="002572F5" w:rsidRPr="001D7099">
        <w:rPr>
          <w:rFonts w:ascii="Times New Roman" w:hAnsi="Times New Roman"/>
          <w:sz w:val="24"/>
          <w:szCs w:val="24"/>
        </w:rPr>
        <w:t xml:space="preserve">grupos ocupacionais é </w:t>
      </w:r>
      <w:r w:rsidR="006923A5">
        <w:rPr>
          <w:rFonts w:ascii="Times New Roman" w:hAnsi="Times New Roman"/>
          <w:sz w:val="24"/>
          <w:szCs w:val="24"/>
        </w:rPr>
        <w:t xml:space="preserve">avaliada </w:t>
      </w:r>
      <w:r w:rsidR="002572F5" w:rsidRPr="001D7099">
        <w:rPr>
          <w:rFonts w:ascii="Times New Roman" w:hAnsi="Times New Roman"/>
          <w:sz w:val="24"/>
          <w:szCs w:val="24"/>
        </w:rPr>
        <w:t xml:space="preserve">a partir do cruzamento de diferentes fontes e interpolada entre marcos cronológicos. </w:t>
      </w:r>
      <w:r w:rsidR="006923A5" w:rsidRPr="001D7099">
        <w:rPr>
          <w:rFonts w:ascii="Times New Roman" w:hAnsi="Times New Roman"/>
          <w:sz w:val="24"/>
          <w:szCs w:val="24"/>
        </w:rPr>
        <w:t>Estas séries</w:t>
      </w:r>
      <w:r w:rsidR="006923A5">
        <w:rPr>
          <w:rFonts w:ascii="Times New Roman" w:hAnsi="Times New Roman"/>
          <w:sz w:val="24"/>
          <w:szCs w:val="24"/>
        </w:rPr>
        <w:t xml:space="preserve"> são</w:t>
      </w:r>
      <w:r w:rsidR="006923A5" w:rsidRPr="001D7099">
        <w:rPr>
          <w:rFonts w:ascii="Times New Roman" w:hAnsi="Times New Roman"/>
          <w:sz w:val="24"/>
          <w:szCs w:val="24"/>
        </w:rPr>
        <w:t>, de seguida, deflacionadas pelo índice CPI, construído a partir do cesto de bens de Estrasburgo com alguns ajustamentos (Allen 2001), por forma a obter o ISJ</w:t>
      </w:r>
      <w:r w:rsidR="006923A5" w:rsidRPr="001D7099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6923A5" w:rsidRPr="001D7099">
        <w:rPr>
          <w:rFonts w:ascii="Times New Roman" w:hAnsi="Times New Roman"/>
          <w:sz w:val="24"/>
          <w:szCs w:val="24"/>
        </w:rPr>
        <w:t xml:space="preserve">. </w:t>
      </w:r>
    </w:p>
    <w:p w14:paraId="0D7454A5" w14:textId="3DEE19D0" w:rsidR="002F0836" w:rsidRPr="001D7099" w:rsidRDefault="002F0836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</w:p>
    <w:p w14:paraId="73BA9CDE" w14:textId="6D61225F" w:rsidR="008F7624" w:rsidRPr="001D7099" w:rsidRDefault="007C680B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lastRenderedPageBreak/>
        <w:t xml:space="preserve">O segundo passo consiste em transformar </w:t>
      </w:r>
      <w:r w:rsidR="006923A5">
        <w:rPr>
          <w:rFonts w:ascii="Times New Roman" w:hAnsi="Times New Roman"/>
          <w:sz w:val="24"/>
          <w:szCs w:val="24"/>
        </w:rPr>
        <w:t xml:space="preserve">o ISJ </w:t>
      </w:r>
      <w:r w:rsidR="00325FC6" w:rsidRPr="001D7099">
        <w:rPr>
          <w:rFonts w:ascii="Times New Roman" w:hAnsi="Times New Roman"/>
          <w:sz w:val="24"/>
          <w:szCs w:val="24"/>
        </w:rPr>
        <w:t xml:space="preserve">numa série </w:t>
      </w:r>
      <w:r w:rsidR="00996A83" w:rsidRPr="001D7099">
        <w:rPr>
          <w:rFonts w:ascii="Times New Roman" w:hAnsi="Times New Roman"/>
          <w:sz w:val="24"/>
          <w:szCs w:val="24"/>
        </w:rPr>
        <w:t xml:space="preserve">nacional </w:t>
      </w:r>
      <w:r w:rsidR="00325FC6" w:rsidRPr="001D7099">
        <w:rPr>
          <w:rFonts w:ascii="Times New Roman" w:hAnsi="Times New Roman"/>
          <w:sz w:val="24"/>
          <w:szCs w:val="24"/>
        </w:rPr>
        <w:t>de</w:t>
      </w:r>
      <w:r w:rsidRPr="001D7099">
        <w:rPr>
          <w:rFonts w:ascii="Times New Roman" w:hAnsi="Times New Roman"/>
          <w:sz w:val="24"/>
          <w:szCs w:val="24"/>
        </w:rPr>
        <w:t xml:space="preserve"> salários anuais</w:t>
      </w:r>
      <w:r w:rsidR="0080409F" w:rsidRPr="001D7099">
        <w:rPr>
          <w:rFonts w:ascii="Times New Roman" w:hAnsi="Times New Roman"/>
          <w:sz w:val="24"/>
          <w:szCs w:val="24"/>
        </w:rPr>
        <w:t xml:space="preserve"> reais (ISR)</w:t>
      </w:r>
      <w:r w:rsidRPr="001D7099">
        <w:rPr>
          <w:rFonts w:ascii="Times New Roman" w:hAnsi="Times New Roman"/>
          <w:sz w:val="24"/>
          <w:szCs w:val="24"/>
        </w:rPr>
        <w:t>.</w:t>
      </w:r>
      <w:r w:rsidR="00BB2559" w:rsidRPr="001D7099">
        <w:rPr>
          <w:rFonts w:ascii="Times New Roman" w:hAnsi="Times New Roman"/>
          <w:sz w:val="24"/>
          <w:szCs w:val="24"/>
        </w:rPr>
        <w:t xml:space="preserve"> </w:t>
      </w:r>
      <w:r w:rsidR="0082355E" w:rsidRPr="001D7099">
        <w:rPr>
          <w:rFonts w:ascii="Times New Roman" w:hAnsi="Times New Roman"/>
          <w:sz w:val="24"/>
          <w:szCs w:val="24"/>
        </w:rPr>
        <w:t>A</w:t>
      </w:r>
      <w:r w:rsidR="008F7624" w:rsidRPr="001D7099">
        <w:rPr>
          <w:rFonts w:ascii="Times New Roman" w:hAnsi="Times New Roman"/>
          <w:sz w:val="24"/>
          <w:szCs w:val="24"/>
        </w:rPr>
        <w:t xml:space="preserve"> estimativa do rendimento médio anual </w:t>
      </w:r>
      <w:r w:rsidR="00B3469B" w:rsidRPr="001D7099">
        <w:rPr>
          <w:rFonts w:ascii="Times New Roman" w:hAnsi="Times New Roman"/>
          <w:sz w:val="24"/>
          <w:szCs w:val="24"/>
        </w:rPr>
        <w:t xml:space="preserve">para uma região j </w:t>
      </w:r>
      <w:r w:rsidR="008F7624" w:rsidRPr="001D7099">
        <w:rPr>
          <w:rFonts w:ascii="Times New Roman" w:hAnsi="Times New Roman"/>
          <w:sz w:val="24"/>
          <w:szCs w:val="24"/>
        </w:rPr>
        <w:t>é dada pela expressão</w:t>
      </w:r>
      <w:r w:rsidR="0082355E" w:rsidRPr="001D7099">
        <w:rPr>
          <w:rFonts w:ascii="Times New Roman" w:hAnsi="Times New Roman"/>
          <w:sz w:val="24"/>
          <w:szCs w:val="24"/>
        </w:rPr>
        <w:t xml:space="preserve"> 1), sendo que a transposição dos quatro índices </w:t>
      </w:r>
      <w:r w:rsidR="001761D8" w:rsidRPr="001D7099">
        <w:rPr>
          <w:rFonts w:ascii="Times New Roman" w:hAnsi="Times New Roman"/>
          <w:sz w:val="24"/>
          <w:szCs w:val="24"/>
        </w:rPr>
        <w:t xml:space="preserve">regionais </w:t>
      </w:r>
      <w:r w:rsidR="0082355E" w:rsidRPr="001D7099">
        <w:rPr>
          <w:rFonts w:ascii="Times New Roman" w:hAnsi="Times New Roman"/>
          <w:sz w:val="24"/>
          <w:szCs w:val="24"/>
        </w:rPr>
        <w:t>para um índice de rendimento nacional é efetuada através dos somatórios dos índices regionais, ponderados pelo peso populacional de cada região</w:t>
      </w:r>
      <w:r w:rsidR="007534ED" w:rsidRPr="001D7099">
        <w:rPr>
          <w:rFonts w:ascii="Times New Roman" w:hAnsi="Times New Roman"/>
          <w:sz w:val="24"/>
          <w:szCs w:val="24"/>
        </w:rPr>
        <w:t xml:space="preserve"> e pelo número de dias efetivos de trabalho por categoria profissional</w:t>
      </w:r>
      <w:r w:rsidR="00D406A4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D406A4">
        <w:rPr>
          <w:rFonts w:ascii="Times New Roman" w:hAnsi="Times New Roman"/>
          <w:sz w:val="24"/>
          <w:szCs w:val="24"/>
        </w:rPr>
        <w:t>.</w:t>
      </w:r>
      <w:r w:rsidR="0082355E" w:rsidRPr="001D7099">
        <w:rPr>
          <w:rFonts w:ascii="Times New Roman" w:hAnsi="Times New Roman"/>
          <w:sz w:val="24"/>
          <w:szCs w:val="24"/>
        </w:rPr>
        <w:t xml:space="preserve"> </w:t>
      </w:r>
    </w:p>
    <w:p w14:paraId="3917F941" w14:textId="77777777" w:rsidR="008F7624" w:rsidRPr="001D7099" w:rsidRDefault="008F7624" w:rsidP="008906F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14:paraId="67C21465" w14:textId="66A874B0" w:rsidR="008F7624" w:rsidRPr="001D7099" w:rsidRDefault="008F7624" w:rsidP="008906F1">
      <w:pPr>
        <w:spacing w:line="480" w:lineRule="auto"/>
        <w:ind w:left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(</w:t>
      </w:r>
      <w:r w:rsidR="0082355E" w:rsidRPr="001D7099">
        <w:rPr>
          <w:rFonts w:ascii="Times New Roman" w:hAnsi="Times New Roman"/>
          <w:sz w:val="24"/>
          <w:szCs w:val="24"/>
        </w:rPr>
        <w:t>1</w:t>
      </w:r>
      <w:r w:rsidRPr="001D7099">
        <w:rPr>
          <w:rFonts w:ascii="Times New Roman" w:hAnsi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. 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i,j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1D7099">
        <w:rPr>
          <w:rFonts w:ascii="Times New Roman" w:hAnsi="Times New Roman"/>
          <w:sz w:val="24"/>
          <w:szCs w:val="24"/>
        </w:rPr>
        <w:t xml:space="preserve"> em que: </w:t>
      </w:r>
    </w:p>
    <w:p w14:paraId="1B95421B" w14:textId="77777777" w:rsidR="008F7624" w:rsidRPr="001D7099" w:rsidRDefault="008F7624" w:rsidP="008906F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15D05D" w14:textId="6791626C" w:rsidR="008F7624" w:rsidRPr="001D7099" w:rsidRDefault="008F7624" w:rsidP="008906F1">
      <w:pPr>
        <w:pStyle w:val="ListParagraph"/>
        <w:numPr>
          <w:ilvl w:val="0"/>
          <w:numId w:val="5"/>
        </w:numPr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a é a proporção do tipo de categoria profissional (i=Urbano, </w:t>
      </w:r>
      <w:r w:rsidR="00977C1A" w:rsidRPr="001D7099">
        <w:rPr>
          <w:rFonts w:ascii="Times New Roman" w:hAnsi="Times New Roman"/>
          <w:sz w:val="24"/>
          <w:szCs w:val="24"/>
        </w:rPr>
        <w:t>RNA</w:t>
      </w:r>
      <w:r w:rsidR="0082355E" w:rsidRPr="001D7099">
        <w:rPr>
          <w:rFonts w:ascii="Times New Roman" w:hAnsi="Times New Roman"/>
          <w:sz w:val="24"/>
          <w:szCs w:val="24"/>
        </w:rPr>
        <w:t>G</w:t>
      </w:r>
      <w:r w:rsidR="00977C1A" w:rsidRPr="001D7099">
        <w:rPr>
          <w:rFonts w:ascii="Times New Roman" w:hAnsi="Times New Roman"/>
          <w:sz w:val="24"/>
          <w:szCs w:val="24"/>
        </w:rPr>
        <w:t xml:space="preserve"> e Agrícola</w:t>
      </w:r>
      <w:r w:rsidRPr="001D7099">
        <w:rPr>
          <w:rFonts w:ascii="Times New Roman" w:hAnsi="Times New Roman"/>
          <w:sz w:val="24"/>
          <w:szCs w:val="24"/>
        </w:rPr>
        <w:t>);</w:t>
      </w:r>
    </w:p>
    <w:p w14:paraId="07E74F5D" w14:textId="0C599EA5" w:rsidR="008F7624" w:rsidRPr="001D7099" w:rsidRDefault="008F7624" w:rsidP="008906F1">
      <w:pPr>
        <w:pStyle w:val="ListParagraph"/>
        <w:numPr>
          <w:ilvl w:val="0"/>
          <w:numId w:val="5"/>
        </w:numPr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w é o salário médio diário </w:t>
      </w:r>
      <w:r w:rsidR="00916D9D" w:rsidRPr="001D7099">
        <w:rPr>
          <w:rFonts w:ascii="Times New Roman" w:hAnsi="Times New Roman"/>
          <w:sz w:val="24"/>
          <w:szCs w:val="24"/>
        </w:rPr>
        <w:t xml:space="preserve">por </w:t>
      </w:r>
      <w:r w:rsidRPr="001D7099">
        <w:rPr>
          <w:rFonts w:ascii="Times New Roman" w:hAnsi="Times New Roman"/>
          <w:sz w:val="24"/>
          <w:szCs w:val="24"/>
        </w:rPr>
        <w:t xml:space="preserve">tipo de </w:t>
      </w:r>
      <w:r w:rsidR="00916D9D" w:rsidRPr="001D7099">
        <w:rPr>
          <w:rFonts w:ascii="Times New Roman" w:hAnsi="Times New Roman"/>
          <w:sz w:val="24"/>
          <w:szCs w:val="24"/>
        </w:rPr>
        <w:t xml:space="preserve">categoria profissional </w:t>
      </w:r>
      <w:r w:rsidR="009C5E70" w:rsidRPr="001D7099">
        <w:rPr>
          <w:rFonts w:ascii="Times New Roman" w:hAnsi="Times New Roman"/>
          <w:sz w:val="24"/>
          <w:szCs w:val="24"/>
        </w:rPr>
        <w:t xml:space="preserve">i </w:t>
      </w:r>
      <w:r w:rsidRPr="001D7099">
        <w:rPr>
          <w:rFonts w:ascii="Times New Roman" w:hAnsi="Times New Roman"/>
          <w:sz w:val="24"/>
          <w:szCs w:val="24"/>
        </w:rPr>
        <w:t>na região j;</w:t>
      </w:r>
    </w:p>
    <w:p w14:paraId="4FDC5284" w14:textId="501070DE" w:rsidR="008F7624" w:rsidRPr="001D7099" w:rsidRDefault="008F7624" w:rsidP="008906F1">
      <w:pPr>
        <w:pStyle w:val="ListParagraph"/>
        <w:numPr>
          <w:ilvl w:val="0"/>
          <w:numId w:val="5"/>
        </w:numPr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l é o n.º de dias de trabalho no ano </w:t>
      </w:r>
      <w:r w:rsidR="009C5E70" w:rsidRPr="001D7099">
        <w:rPr>
          <w:rFonts w:ascii="Times New Roman" w:hAnsi="Times New Roman"/>
          <w:sz w:val="24"/>
          <w:szCs w:val="24"/>
        </w:rPr>
        <w:t xml:space="preserve">em </w:t>
      </w:r>
      <w:r w:rsidR="005A3513" w:rsidRPr="001D7099">
        <w:rPr>
          <w:rFonts w:ascii="Times New Roman" w:hAnsi="Times New Roman"/>
          <w:sz w:val="24"/>
          <w:szCs w:val="24"/>
        </w:rPr>
        <w:t>cada categoria profissional</w:t>
      </w:r>
      <w:r w:rsidR="009C5E70" w:rsidRPr="001D7099">
        <w:rPr>
          <w:rFonts w:ascii="Times New Roman" w:hAnsi="Times New Roman"/>
          <w:sz w:val="24"/>
          <w:szCs w:val="24"/>
        </w:rPr>
        <w:t xml:space="preserve"> i</w:t>
      </w:r>
      <w:r w:rsidRPr="001D7099">
        <w:rPr>
          <w:rFonts w:ascii="Times New Roman" w:hAnsi="Times New Roman"/>
          <w:sz w:val="24"/>
          <w:szCs w:val="24"/>
        </w:rPr>
        <w:t xml:space="preserve">. </w:t>
      </w:r>
    </w:p>
    <w:p w14:paraId="69A6D752" w14:textId="7508CA6A" w:rsidR="006C6BF1" w:rsidRPr="007C6C88" w:rsidRDefault="006C6BF1" w:rsidP="00D406A4">
      <w:pPr>
        <w:spacing w:line="276" w:lineRule="auto"/>
        <w:rPr>
          <w:rFonts w:ascii="Times New Roman" w:hAnsi="Times New Roman"/>
        </w:rPr>
      </w:pPr>
    </w:p>
    <w:p w14:paraId="446B35A9" w14:textId="77777777" w:rsidR="00D406A4" w:rsidRDefault="008E50BA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As fontes permitem uma observação direta do input de trabalho do</w:t>
      </w:r>
      <w:r w:rsidR="00996A83" w:rsidRPr="001D7099">
        <w:rPr>
          <w:rFonts w:ascii="Times New Roman" w:hAnsi="Times New Roman"/>
          <w:sz w:val="24"/>
          <w:szCs w:val="24"/>
        </w:rPr>
        <w:t>s</w:t>
      </w:r>
      <w:r w:rsidRPr="001D7099">
        <w:rPr>
          <w:rFonts w:ascii="Times New Roman" w:hAnsi="Times New Roman"/>
          <w:sz w:val="24"/>
          <w:szCs w:val="24"/>
        </w:rPr>
        <w:t xml:space="preserve"> trabalhadores qualificados, mas o mesmo não se verifica para os restantes grupos ocupacionais. </w:t>
      </w:r>
      <w:r w:rsidR="00325FC6" w:rsidRPr="001D7099">
        <w:rPr>
          <w:rFonts w:ascii="Times New Roman" w:hAnsi="Times New Roman"/>
          <w:sz w:val="24"/>
          <w:szCs w:val="24"/>
        </w:rPr>
        <w:t>Para</w:t>
      </w:r>
      <w:r w:rsidR="0080409F" w:rsidRPr="001D7099">
        <w:rPr>
          <w:rFonts w:ascii="Times New Roman" w:hAnsi="Times New Roman"/>
          <w:sz w:val="24"/>
          <w:szCs w:val="24"/>
        </w:rPr>
        <w:t xml:space="preserve"> ultrapassar esta carência observacional, </w:t>
      </w:r>
      <w:r w:rsidR="00016EEE" w:rsidRPr="001D7099">
        <w:rPr>
          <w:rFonts w:ascii="Times New Roman" w:hAnsi="Times New Roman"/>
          <w:sz w:val="24"/>
          <w:szCs w:val="24"/>
        </w:rPr>
        <w:t>P</w:t>
      </w:r>
      <w:r w:rsidRPr="001D7099">
        <w:rPr>
          <w:rFonts w:ascii="Times New Roman" w:hAnsi="Times New Roman"/>
          <w:sz w:val="24"/>
          <w:szCs w:val="24"/>
        </w:rPr>
        <w:t xml:space="preserve">alma </w:t>
      </w:r>
      <w:r w:rsidR="000D5EBD" w:rsidRPr="001D7099">
        <w:rPr>
          <w:rFonts w:ascii="Times New Roman" w:hAnsi="Times New Roman"/>
          <w:sz w:val="24"/>
          <w:szCs w:val="24"/>
        </w:rPr>
        <w:t>e</w:t>
      </w:r>
      <w:r w:rsidRPr="001D7099">
        <w:rPr>
          <w:rFonts w:ascii="Times New Roman" w:hAnsi="Times New Roman"/>
          <w:sz w:val="24"/>
          <w:szCs w:val="24"/>
        </w:rPr>
        <w:t xml:space="preserve"> Reis </w:t>
      </w:r>
      <w:r w:rsidR="00633D2C" w:rsidRPr="001D7099">
        <w:rPr>
          <w:rFonts w:ascii="Times New Roman" w:hAnsi="Times New Roman"/>
          <w:sz w:val="24"/>
          <w:szCs w:val="24"/>
        </w:rPr>
        <w:t xml:space="preserve">(2019) </w:t>
      </w:r>
      <w:r w:rsidR="00A13ED6" w:rsidRPr="001D7099">
        <w:rPr>
          <w:rFonts w:ascii="Times New Roman" w:hAnsi="Times New Roman"/>
          <w:sz w:val="24"/>
          <w:szCs w:val="24"/>
        </w:rPr>
        <w:t>recorrem a uma estimativa do produto agrícola, do lado da produção, no início e no fim da cronologia</w:t>
      </w:r>
      <w:r w:rsidR="00D406A4">
        <w:rPr>
          <w:rFonts w:ascii="Times New Roman" w:hAnsi="Times New Roman"/>
          <w:sz w:val="24"/>
          <w:szCs w:val="24"/>
        </w:rPr>
        <w:t xml:space="preserve">, que igualam </w:t>
      </w:r>
      <w:r w:rsidR="00A13ED6" w:rsidRPr="001D7099">
        <w:rPr>
          <w:rFonts w:ascii="Times New Roman" w:hAnsi="Times New Roman"/>
          <w:sz w:val="24"/>
          <w:szCs w:val="24"/>
        </w:rPr>
        <w:t xml:space="preserve"> </w:t>
      </w:r>
      <w:r w:rsidR="00D406A4">
        <w:rPr>
          <w:rFonts w:ascii="Times New Roman" w:hAnsi="Times New Roman"/>
          <w:sz w:val="24"/>
          <w:szCs w:val="24"/>
        </w:rPr>
        <w:t xml:space="preserve">ao </w:t>
      </w:r>
      <w:r w:rsidR="00A13ED6" w:rsidRPr="001D7099">
        <w:rPr>
          <w:rFonts w:ascii="Times New Roman" w:hAnsi="Times New Roman"/>
          <w:sz w:val="24"/>
          <w:szCs w:val="24"/>
        </w:rPr>
        <w:t>ISJ nacional da categoria não qualificada</w:t>
      </w:r>
      <w:r w:rsidR="00D406A4">
        <w:rPr>
          <w:rFonts w:ascii="Times New Roman" w:hAnsi="Times New Roman"/>
          <w:sz w:val="24"/>
          <w:szCs w:val="24"/>
        </w:rPr>
        <w:t>.</w:t>
      </w:r>
      <w:r w:rsidR="00A13ED6" w:rsidRPr="001D7099">
        <w:rPr>
          <w:rFonts w:ascii="Times New Roman" w:hAnsi="Times New Roman"/>
          <w:sz w:val="24"/>
          <w:szCs w:val="24"/>
        </w:rPr>
        <w:t xml:space="preserve"> </w:t>
      </w:r>
      <w:r w:rsidR="00D406A4">
        <w:rPr>
          <w:rFonts w:ascii="Times New Roman" w:hAnsi="Times New Roman"/>
          <w:sz w:val="24"/>
          <w:szCs w:val="24"/>
        </w:rPr>
        <w:t xml:space="preserve">O </w:t>
      </w:r>
      <w:r w:rsidRPr="001D7099">
        <w:rPr>
          <w:rFonts w:ascii="Times New Roman" w:hAnsi="Times New Roman"/>
          <w:sz w:val="24"/>
          <w:szCs w:val="24"/>
        </w:rPr>
        <w:t xml:space="preserve">input </w:t>
      </w:r>
      <w:r w:rsidR="009C5E70" w:rsidRPr="001D7099">
        <w:rPr>
          <w:rFonts w:ascii="Times New Roman" w:hAnsi="Times New Roman"/>
          <w:sz w:val="24"/>
          <w:szCs w:val="24"/>
        </w:rPr>
        <w:t xml:space="preserve">total </w:t>
      </w:r>
      <w:r w:rsidRPr="001D7099">
        <w:rPr>
          <w:rFonts w:ascii="Times New Roman" w:hAnsi="Times New Roman"/>
          <w:sz w:val="24"/>
          <w:szCs w:val="24"/>
        </w:rPr>
        <w:t>de trabalho</w:t>
      </w:r>
      <w:r w:rsidR="00016EEE" w:rsidRPr="001D7099">
        <w:rPr>
          <w:rFonts w:ascii="Times New Roman" w:hAnsi="Times New Roman"/>
          <w:sz w:val="24"/>
          <w:szCs w:val="24"/>
        </w:rPr>
        <w:t xml:space="preserve"> nesses pontos</w:t>
      </w:r>
      <w:r w:rsidR="00633D2C" w:rsidRPr="001D7099">
        <w:rPr>
          <w:rFonts w:ascii="Times New Roman" w:hAnsi="Times New Roman"/>
          <w:sz w:val="24"/>
          <w:szCs w:val="24"/>
        </w:rPr>
        <w:t xml:space="preserve"> cronológicos</w:t>
      </w:r>
      <w:r w:rsidR="00D406A4">
        <w:rPr>
          <w:rFonts w:ascii="Times New Roman" w:hAnsi="Times New Roman"/>
          <w:sz w:val="24"/>
          <w:szCs w:val="24"/>
        </w:rPr>
        <w:t xml:space="preserve"> é dado pelo quociente entre os termos e a</w:t>
      </w:r>
      <w:r w:rsidR="00685737" w:rsidRPr="001D7099">
        <w:rPr>
          <w:rFonts w:ascii="Times New Roman" w:hAnsi="Times New Roman"/>
          <w:sz w:val="24"/>
          <w:szCs w:val="24"/>
        </w:rPr>
        <w:t xml:space="preserve"> </w:t>
      </w:r>
      <w:r w:rsidR="00D406A4">
        <w:rPr>
          <w:rFonts w:ascii="Times New Roman" w:hAnsi="Times New Roman"/>
          <w:sz w:val="24"/>
          <w:szCs w:val="24"/>
        </w:rPr>
        <w:t xml:space="preserve">sua </w:t>
      </w:r>
      <w:r w:rsidR="00685737" w:rsidRPr="001D7099">
        <w:rPr>
          <w:rFonts w:ascii="Times New Roman" w:hAnsi="Times New Roman"/>
          <w:sz w:val="24"/>
          <w:szCs w:val="24"/>
        </w:rPr>
        <w:t>variação entre marcos cronológicos obtida por interpolação</w:t>
      </w:r>
      <w:r w:rsidR="00685737" w:rsidRPr="001D7099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685737" w:rsidRPr="001D7099">
        <w:rPr>
          <w:rFonts w:ascii="Times New Roman" w:hAnsi="Times New Roman"/>
          <w:sz w:val="24"/>
          <w:szCs w:val="24"/>
        </w:rPr>
        <w:t xml:space="preserve">. </w:t>
      </w:r>
    </w:p>
    <w:p w14:paraId="207B815C" w14:textId="4054CFFD" w:rsidR="004328DC" w:rsidRPr="001D7099" w:rsidRDefault="00996A83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Tal como para os salários, o</w:t>
      </w:r>
      <w:r w:rsidR="00016EEE" w:rsidRPr="001D7099">
        <w:rPr>
          <w:rFonts w:ascii="Times New Roman" w:hAnsi="Times New Roman"/>
          <w:sz w:val="24"/>
          <w:szCs w:val="24"/>
        </w:rPr>
        <w:t xml:space="preserve">s inputs de trabalho </w:t>
      </w:r>
      <w:r w:rsidR="00D406A4">
        <w:rPr>
          <w:rFonts w:ascii="Times New Roman" w:hAnsi="Times New Roman"/>
          <w:sz w:val="24"/>
          <w:szCs w:val="24"/>
        </w:rPr>
        <w:t xml:space="preserve">pc </w:t>
      </w:r>
      <w:r w:rsidR="00016EEE" w:rsidRPr="001D7099">
        <w:rPr>
          <w:rFonts w:ascii="Times New Roman" w:hAnsi="Times New Roman"/>
          <w:sz w:val="24"/>
          <w:szCs w:val="24"/>
        </w:rPr>
        <w:t xml:space="preserve">para o segmento ocupacional RNAG são obtidos através de uma média simples das outras duas categorias profissionais. </w:t>
      </w:r>
      <w:r w:rsidR="0035112F">
        <w:rPr>
          <w:rFonts w:ascii="Times New Roman" w:hAnsi="Times New Roman"/>
          <w:sz w:val="24"/>
          <w:szCs w:val="24"/>
        </w:rPr>
        <w:t>O</w:t>
      </w:r>
      <w:r w:rsidR="00016EEE" w:rsidRPr="001D7099">
        <w:rPr>
          <w:rFonts w:ascii="Times New Roman" w:hAnsi="Times New Roman"/>
          <w:sz w:val="24"/>
          <w:szCs w:val="24"/>
        </w:rPr>
        <w:t xml:space="preserve"> cálculo do rendimento </w:t>
      </w:r>
      <w:r w:rsidR="0035112F">
        <w:rPr>
          <w:rFonts w:ascii="Times New Roman" w:hAnsi="Times New Roman"/>
          <w:sz w:val="24"/>
          <w:szCs w:val="24"/>
        </w:rPr>
        <w:t xml:space="preserve">é completado integrando uma componente </w:t>
      </w:r>
      <w:r w:rsidR="00016EEE" w:rsidRPr="001D7099">
        <w:rPr>
          <w:rFonts w:ascii="Times New Roman" w:hAnsi="Times New Roman"/>
          <w:sz w:val="24"/>
          <w:szCs w:val="24"/>
        </w:rPr>
        <w:t xml:space="preserve">resultante do capital, assumindo que este último fator representa ¼ do rendimento total (Álvarez-Nogal &amp; Escosura, 2013). </w:t>
      </w:r>
      <w:r w:rsidR="008F7624" w:rsidRPr="001D7099">
        <w:rPr>
          <w:rFonts w:ascii="Times New Roman" w:hAnsi="Times New Roman"/>
          <w:sz w:val="24"/>
          <w:szCs w:val="24"/>
        </w:rPr>
        <w:t xml:space="preserve">Tendo disponível uma série que caracterize </w:t>
      </w:r>
      <w:r w:rsidR="00FD58A6" w:rsidRPr="001D7099">
        <w:rPr>
          <w:rFonts w:ascii="Times New Roman" w:hAnsi="Times New Roman"/>
          <w:sz w:val="24"/>
          <w:szCs w:val="24"/>
        </w:rPr>
        <w:t xml:space="preserve">a </w:t>
      </w:r>
      <w:r w:rsidR="004328DC" w:rsidRPr="001D7099">
        <w:rPr>
          <w:rFonts w:ascii="Times New Roman" w:hAnsi="Times New Roman"/>
          <w:sz w:val="24"/>
          <w:szCs w:val="24"/>
        </w:rPr>
        <w:t xml:space="preserve">evolução </w:t>
      </w:r>
      <w:r w:rsidR="00FD58A6" w:rsidRPr="001D7099">
        <w:rPr>
          <w:rFonts w:ascii="Times New Roman" w:hAnsi="Times New Roman"/>
          <w:sz w:val="24"/>
          <w:szCs w:val="24"/>
        </w:rPr>
        <w:t xml:space="preserve">do </w:t>
      </w:r>
      <w:r w:rsidR="00016EEE" w:rsidRPr="001D7099">
        <w:rPr>
          <w:rFonts w:ascii="Times New Roman" w:hAnsi="Times New Roman"/>
          <w:sz w:val="24"/>
          <w:szCs w:val="24"/>
        </w:rPr>
        <w:t xml:space="preserve">rendimento por agregado familiar </w:t>
      </w:r>
      <w:r w:rsidR="00016EEE" w:rsidRPr="001D7099">
        <w:rPr>
          <w:rFonts w:ascii="Times New Roman" w:hAnsi="Times New Roman"/>
          <w:sz w:val="24"/>
          <w:szCs w:val="24"/>
        </w:rPr>
        <w:lastRenderedPageBreak/>
        <w:t xml:space="preserve">nacional ao longo da cronologia, é possível aplicá-la </w:t>
      </w:r>
      <w:r w:rsidR="00AE4096" w:rsidRPr="001D7099">
        <w:rPr>
          <w:rFonts w:ascii="Times New Roman" w:hAnsi="Times New Roman"/>
          <w:sz w:val="24"/>
          <w:szCs w:val="24"/>
        </w:rPr>
        <w:t>à função de procura e, em conjunto com o índice de preços (agrícolas e não agrícolas), obter a variação do PAB pc</w:t>
      </w:r>
      <w:r w:rsidR="00AE4096" w:rsidRPr="001D7099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="00AE4096" w:rsidRPr="001D7099">
        <w:rPr>
          <w:rFonts w:ascii="Times New Roman" w:hAnsi="Times New Roman"/>
          <w:sz w:val="24"/>
          <w:szCs w:val="24"/>
        </w:rPr>
        <w:t xml:space="preserve">. </w:t>
      </w:r>
    </w:p>
    <w:p w14:paraId="3D590F05" w14:textId="05952440" w:rsidR="008F7624" w:rsidRPr="001D7099" w:rsidRDefault="00AE4096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A estimativa </w:t>
      </w:r>
      <w:r w:rsidR="00BC1096" w:rsidRPr="001D7099">
        <w:rPr>
          <w:rFonts w:ascii="Times New Roman" w:hAnsi="Times New Roman"/>
          <w:sz w:val="24"/>
          <w:szCs w:val="24"/>
        </w:rPr>
        <w:t>d</w:t>
      </w:r>
      <w:r w:rsidR="008F7624" w:rsidRPr="001D7099">
        <w:rPr>
          <w:rFonts w:ascii="Times New Roman" w:hAnsi="Times New Roman"/>
          <w:sz w:val="24"/>
          <w:szCs w:val="24"/>
        </w:rPr>
        <w:t xml:space="preserve">a contribuição </w:t>
      </w:r>
      <w:r w:rsidR="00060C70" w:rsidRPr="001D7099">
        <w:rPr>
          <w:rFonts w:ascii="Times New Roman" w:hAnsi="Times New Roman"/>
          <w:sz w:val="24"/>
          <w:szCs w:val="24"/>
        </w:rPr>
        <w:t xml:space="preserve">dos </w:t>
      </w:r>
      <w:r w:rsidR="008F7624" w:rsidRPr="001D7099">
        <w:rPr>
          <w:rFonts w:ascii="Times New Roman" w:hAnsi="Times New Roman"/>
          <w:sz w:val="24"/>
          <w:szCs w:val="24"/>
        </w:rPr>
        <w:t xml:space="preserve">setores da economia </w:t>
      </w:r>
      <w:r w:rsidR="004328DC" w:rsidRPr="001D7099">
        <w:rPr>
          <w:rFonts w:ascii="Times New Roman" w:hAnsi="Times New Roman"/>
          <w:sz w:val="24"/>
          <w:szCs w:val="24"/>
        </w:rPr>
        <w:t xml:space="preserve">desligados da agricultura </w:t>
      </w:r>
      <w:r w:rsidRPr="001D7099">
        <w:rPr>
          <w:rFonts w:ascii="Times New Roman" w:hAnsi="Times New Roman"/>
          <w:sz w:val="24"/>
          <w:szCs w:val="24"/>
        </w:rPr>
        <w:t xml:space="preserve">é efetuada através da </w:t>
      </w:r>
      <w:r w:rsidR="008F7624" w:rsidRPr="001D7099">
        <w:rPr>
          <w:rFonts w:ascii="Times New Roman" w:hAnsi="Times New Roman"/>
          <w:sz w:val="24"/>
          <w:szCs w:val="24"/>
        </w:rPr>
        <w:t xml:space="preserve">aplicação de um diferencial constante de produtividade </w:t>
      </w:r>
      <w:r w:rsidR="00605620">
        <w:rPr>
          <w:rFonts w:ascii="Times New Roman" w:hAnsi="Times New Roman"/>
          <w:sz w:val="24"/>
          <w:szCs w:val="24"/>
        </w:rPr>
        <w:t xml:space="preserve">intersectorial </w:t>
      </w:r>
      <w:r w:rsidR="002D1D90" w:rsidRPr="001D7099">
        <w:rPr>
          <w:rFonts w:ascii="Times New Roman" w:hAnsi="Times New Roman"/>
          <w:sz w:val="24"/>
          <w:szCs w:val="24"/>
        </w:rPr>
        <w:t>(</w:t>
      </w:r>
      <w:r w:rsidR="00A3111E" w:rsidRPr="001D7099">
        <w:rPr>
          <w:rFonts w:ascii="Times New Roman" w:hAnsi="Times New Roman"/>
          <w:sz w:val="24"/>
          <w:szCs w:val="24"/>
        </w:rPr>
        <w:t xml:space="preserve">Pfister </w:t>
      </w:r>
      <w:r w:rsidR="00A3111E" w:rsidRPr="001D7099">
        <w:rPr>
          <w:rFonts w:ascii="Times New Roman" w:hAnsi="Times New Roman"/>
          <w:i/>
          <w:iCs/>
          <w:sz w:val="24"/>
          <w:szCs w:val="24"/>
        </w:rPr>
        <w:t>et al</w:t>
      </w:r>
      <w:r w:rsidR="00A3111E" w:rsidRPr="001D7099">
        <w:rPr>
          <w:rFonts w:ascii="Times New Roman" w:hAnsi="Times New Roman"/>
          <w:sz w:val="24"/>
          <w:szCs w:val="24"/>
        </w:rPr>
        <w:t>. 2012</w:t>
      </w:r>
      <w:r w:rsidR="002D1D90" w:rsidRPr="001D7099">
        <w:rPr>
          <w:rFonts w:ascii="Times New Roman" w:hAnsi="Times New Roman"/>
          <w:sz w:val="24"/>
          <w:szCs w:val="24"/>
        </w:rPr>
        <w:t>)</w:t>
      </w:r>
      <w:r w:rsidR="00924E3F" w:rsidRPr="001D7099">
        <w:rPr>
          <w:rFonts w:ascii="Times New Roman" w:hAnsi="Times New Roman"/>
          <w:sz w:val="24"/>
          <w:szCs w:val="24"/>
        </w:rPr>
        <w:t>.</w:t>
      </w:r>
      <w:r w:rsidR="008F7624" w:rsidRPr="001D7099">
        <w:rPr>
          <w:rFonts w:ascii="Times New Roman" w:hAnsi="Times New Roman"/>
          <w:sz w:val="24"/>
          <w:szCs w:val="24"/>
        </w:rPr>
        <w:t xml:space="preserve"> Esta constante é </w:t>
      </w:r>
      <w:r w:rsidR="00060C70" w:rsidRPr="001D7099">
        <w:rPr>
          <w:rFonts w:ascii="Times New Roman" w:hAnsi="Times New Roman"/>
          <w:sz w:val="24"/>
          <w:szCs w:val="24"/>
        </w:rPr>
        <w:t>calculada</w:t>
      </w:r>
      <w:r w:rsidR="008F7624" w:rsidRPr="001D7099">
        <w:rPr>
          <w:rFonts w:ascii="Times New Roman" w:hAnsi="Times New Roman"/>
          <w:sz w:val="24"/>
          <w:szCs w:val="24"/>
        </w:rPr>
        <w:t xml:space="preserve"> num ponto conhecido </w:t>
      </w:r>
      <w:r w:rsidR="00BC1096" w:rsidRPr="001D7099">
        <w:rPr>
          <w:rFonts w:ascii="Times New Roman" w:hAnsi="Times New Roman"/>
          <w:sz w:val="24"/>
          <w:szCs w:val="24"/>
        </w:rPr>
        <w:t>n</w:t>
      </w:r>
      <w:r w:rsidR="008F7624" w:rsidRPr="001D7099">
        <w:rPr>
          <w:rFonts w:ascii="Times New Roman" w:hAnsi="Times New Roman"/>
          <w:sz w:val="24"/>
          <w:szCs w:val="24"/>
        </w:rPr>
        <w:t xml:space="preserve">o tempo (1850) </w:t>
      </w:r>
      <w:r w:rsidRPr="001D7099">
        <w:rPr>
          <w:rFonts w:ascii="Times New Roman" w:hAnsi="Times New Roman"/>
          <w:sz w:val="24"/>
          <w:szCs w:val="24"/>
        </w:rPr>
        <w:t xml:space="preserve">e aplicada de forma invariável ao longo da cronologia através da expressão 2): </w:t>
      </w:r>
    </w:p>
    <w:p w14:paraId="047636E3" w14:textId="77777777" w:rsidR="00A3111E" w:rsidRPr="001D7099" w:rsidRDefault="00A3111E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27D1A787" w14:textId="66A69BE6" w:rsidR="00AE4096" w:rsidRPr="001D7099" w:rsidRDefault="00AE4096" w:rsidP="008906F1">
      <w:pPr>
        <w:spacing w:line="480" w:lineRule="auto"/>
        <w:ind w:left="142"/>
        <w:jc w:val="left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(2)</w:t>
      </w:r>
      <w:r w:rsidRPr="001D7099">
        <w:rPr>
          <w:rFonts w:ascii="Times New Roman" w:hAnsi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PIB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. 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c </m:t>
            </m:r>
            <m:r>
              <w:rPr>
                <w:rFonts w:ascii="Cambria Math" w:hAnsi="Cambria Math"/>
                <w:sz w:val="24"/>
                <w:szCs w:val="24"/>
              </w:rPr>
              <m:t xml:space="preserve">.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a, t</m:t>
                </m:r>
              </m:sub>
            </m:sSub>
          </m:den>
        </m:f>
      </m:oMath>
      <w:r w:rsidRPr="001D7099">
        <w:rPr>
          <w:rFonts w:ascii="Times New Roman" w:hAnsi="Times New Roman"/>
          <w:sz w:val="24"/>
          <w:szCs w:val="24"/>
        </w:rPr>
        <w:t xml:space="preserve"> em que:</w:t>
      </w:r>
    </w:p>
    <w:p w14:paraId="3114AB0E" w14:textId="77777777" w:rsidR="00AE4096" w:rsidRPr="001D7099" w:rsidRDefault="00AE4096" w:rsidP="008906F1">
      <w:pPr>
        <w:spacing w:line="240" w:lineRule="auto"/>
        <w:ind w:left="142"/>
        <w:jc w:val="left"/>
        <w:rPr>
          <w:rFonts w:ascii="Times New Roman" w:hAnsi="Times New Roman"/>
          <w:sz w:val="24"/>
          <w:szCs w:val="24"/>
        </w:rPr>
      </w:pPr>
    </w:p>
    <w:p w14:paraId="00F2F6BB" w14:textId="17D83655" w:rsidR="00AE4096" w:rsidRPr="001D7099" w:rsidRDefault="00AE4096" w:rsidP="008906F1">
      <w:pPr>
        <w:pStyle w:val="ListParagraph"/>
        <w:numPr>
          <w:ilvl w:val="0"/>
          <w:numId w:val="6"/>
        </w:numPr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Q</w:t>
      </w:r>
      <w:r w:rsidRPr="001D7099">
        <w:rPr>
          <w:rFonts w:ascii="Times New Roman" w:hAnsi="Times New Roman"/>
          <w:sz w:val="24"/>
          <w:szCs w:val="24"/>
          <w:vertAlign w:val="subscript"/>
        </w:rPr>
        <w:t>a</w:t>
      </w:r>
      <w:r w:rsidRPr="001D7099">
        <w:rPr>
          <w:rFonts w:ascii="Times New Roman" w:hAnsi="Times New Roman"/>
          <w:sz w:val="24"/>
          <w:szCs w:val="24"/>
        </w:rPr>
        <w:t xml:space="preserve"> é o produto agrícola bruto estimado através da função da procura;</w:t>
      </w:r>
    </w:p>
    <w:p w14:paraId="03F011B8" w14:textId="5CA90789" w:rsidR="00AE4096" w:rsidRPr="001D7099" w:rsidRDefault="00AE4096" w:rsidP="008906F1">
      <w:pPr>
        <w:pStyle w:val="ListParagraph"/>
        <w:numPr>
          <w:ilvl w:val="0"/>
          <w:numId w:val="6"/>
        </w:numPr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L é o input total de trabalho num dado instante t;</w:t>
      </w:r>
    </w:p>
    <w:p w14:paraId="1CA2035E" w14:textId="259218ED" w:rsidR="008F7624" w:rsidRPr="001D7099" w:rsidRDefault="00AE4096" w:rsidP="008906F1">
      <w:pPr>
        <w:pStyle w:val="ListParagraph"/>
        <w:numPr>
          <w:ilvl w:val="0"/>
          <w:numId w:val="6"/>
        </w:numPr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L</w:t>
      </w:r>
      <w:r w:rsidRPr="001D7099">
        <w:rPr>
          <w:rFonts w:ascii="Times New Roman" w:hAnsi="Times New Roman"/>
          <w:sz w:val="24"/>
          <w:szCs w:val="24"/>
          <w:vertAlign w:val="subscript"/>
        </w:rPr>
        <w:t>a</w:t>
      </w:r>
      <w:r w:rsidRPr="001D7099">
        <w:rPr>
          <w:rFonts w:ascii="Times New Roman" w:hAnsi="Times New Roman"/>
          <w:sz w:val="24"/>
          <w:szCs w:val="24"/>
        </w:rPr>
        <w:t xml:space="preserve"> é o input de trabalho do setor agrícola num dado instante t</w:t>
      </w:r>
      <w:r w:rsidR="004328DC" w:rsidRPr="001D7099">
        <w:rPr>
          <w:rFonts w:ascii="Times New Roman" w:hAnsi="Times New Roman"/>
          <w:sz w:val="24"/>
          <w:szCs w:val="24"/>
        </w:rPr>
        <w:t>;</w:t>
      </w:r>
    </w:p>
    <w:p w14:paraId="6296AA73" w14:textId="29E1962F" w:rsidR="00AE4096" w:rsidRPr="001D7099" w:rsidRDefault="00AE4096" w:rsidP="008906F1">
      <w:pPr>
        <w:pStyle w:val="ListParagraph"/>
        <w:numPr>
          <w:ilvl w:val="0"/>
          <w:numId w:val="6"/>
        </w:numPr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C é a constante de produtividade intersectorial </w:t>
      </w:r>
      <w:r w:rsidR="004328DC" w:rsidRPr="001D7099">
        <w:rPr>
          <w:rFonts w:ascii="Times New Roman" w:hAnsi="Times New Roman"/>
          <w:sz w:val="24"/>
          <w:szCs w:val="24"/>
        </w:rPr>
        <w:t xml:space="preserve">estimada em </w:t>
      </w:r>
      <w:r w:rsidRPr="001D7099">
        <w:rPr>
          <w:rFonts w:ascii="Times New Roman" w:hAnsi="Times New Roman"/>
          <w:sz w:val="24"/>
          <w:szCs w:val="24"/>
        </w:rPr>
        <w:t>0,7</w:t>
      </w:r>
      <w:r w:rsidR="004328DC" w:rsidRPr="001D7099">
        <w:rPr>
          <w:rFonts w:ascii="Times New Roman" w:hAnsi="Times New Roman"/>
          <w:sz w:val="24"/>
          <w:szCs w:val="24"/>
        </w:rPr>
        <w:t>.</w:t>
      </w:r>
    </w:p>
    <w:p w14:paraId="36A42B9F" w14:textId="77777777" w:rsidR="008906F1" w:rsidRDefault="008906F1" w:rsidP="00694E7A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2A8805D7" w14:textId="4B8F896E" w:rsidR="00BF5942" w:rsidRPr="001D7099" w:rsidRDefault="00BF5942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Por outro lado, reescrevendo a expressão </w:t>
      </w:r>
      <w:r w:rsidR="00AE4096" w:rsidRPr="001D7099">
        <w:rPr>
          <w:rFonts w:ascii="Times New Roman" w:hAnsi="Times New Roman"/>
          <w:sz w:val="24"/>
          <w:szCs w:val="24"/>
        </w:rPr>
        <w:t>2</w:t>
      </w:r>
      <w:r w:rsidRPr="001D7099">
        <w:rPr>
          <w:rFonts w:ascii="Times New Roman" w:hAnsi="Times New Roman"/>
          <w:sz w:val="24"/>
          <w:szCs w:val="24"/>
        </w:rPr>
        <w:t xml:space="preserve">), é </w:t>
      </w:r>
      <w:r w:rsidR="00BD31B6" w:rsidRPr="001D7099">
        <w:rPr>
          <w:rFonts w:ascii="Times New Roman" w:hAnsi="Times New Roman"/>
          <w:sz w:val="24"/>
          <w:szCs w:val="24"/>
        </w:rPr>
        <w:t xml:space="preserve">também </w:t>
      </w:r>
      <w:r w:rsidRPr="001D7099">
        <w:rPr>
          <w:rFonts w:ascii="Times New Roman" w:hAnsi="Times New Roman"/>
          <w:sz w:val="24"/>
          <w:szCs w:val="24"/>
        </w:rPr>
        <w:t>possível determinar</w:t>
      </w:r>
      <w:r w:rsidR="0035112F"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>a componente agrícola</w:t>
      </w:r>
      <w:r w:rsidR="00856CEB" w:rsidRPr="001D7099">
        <w:rPr>
          <w:rFonts w:ascii="Times New Roman" w:hAnsi="Times New Roman"/>
          <w:sz w:val="24"/>
          <w:szCs w:val="24"/>
        </w:rPr>
        <w:t xml:space="preserve"> do produto</w:t>
      </w:r>
      <w:r w:rsidR="00F75538" w:rsidRPr="001D7099">
        <w:rPr>
          <w:rFonts w:ascii="Times New Roman" w:hAnsi="Times New Roman"/>
          <w:sz w:val="24"/>
          <w:szCs w:val="24"/>
        </w:rPr>
        <w:t xml:space="preserve"> (PAB</w:t>
      </w:r>
      <w:r w:rsidR="004328DC" w:rsidRPr="001D7099">
        <w:rPr>
          <w:rFonts w:ascii="Times New Roman" w:hAnsi="Times New Roman"/>
          <w:sz w:val="24"/>
          <w:szCs w:val="24"/>
        </w:rPr>
        <w:t xml:space="preserve"> </w:t>
      </w:r>
      <w:r w:rsidR="00AE4096" w:rsidRPr="001D7099">
        <w:rPr>
          <w:rFonts w:ascii="Times New Roman" w:hAnsi="Times New Roman"/>
          <w:sz w:val="24"/>
          <w:szCs w:val="24"/>
        </w:rPr>
        <w:t>pc</w:t>
      </w:r>
      <w:r w:rsidR="004328DC" w:rsidRPr="001D7099">
        <w:rPr>
          <w:rFonts w:ascii="Times New Roman" w:hAnsi="Times New Roman"/>
          <w:sz w:val="24"/>
          <w:szCs w:val="24"/>
        </w:rPr>
        <w:t>)</w:t>
      </w:r>
      <w:r w:rsidR="00AE4096" w:rsidRPr="001D7099">
        <w:rPr>
          <w:rFonts w:ascii="Times New Roman" w:hAnsi="Times New Roman"/>
          <w:sz w:val="24"/>
          <w:szCs w:val="24"/>
        </w:rPr>
        <w:t xml:space="preserve"> </w:t>
      </w:r>
      <w:r w:rsidR="00856CEB" w:rsidRPr="001D7099">
        <w:rPr>
          <w:rFonts w:ascii="Times New Roman" w:hAnsi="Times New Roman"/>
          <w:sz w:val="24"/>
          <w:szCs w:val="24"/>
        </w:rPr>
        <w:t xml:space="preserve">e, por diferença, a componente não </w:t>
      </w:r>
      <w:r w:rsidRPr="001D7099">
        <w:rPr>
          <w:rFonts w:ascii="Times New Roman" w:hAnsi="Times New Roman"/>
          <w:sz w:val="24"/>
          <w:szCs w:val="24"/>
        </w:rPr>
        <w:t>agrícola</w:t>
      </w:r>
      <w:r w:rsidR="00BC1096" w:rsidRPr="001D7099">
        <w:rPr>
          <w:rFonts w:ascii="Times New Roman" w:hAnsi="Times New Roman"/>
          <w:sz w:val="24"/>
          <w:szCs w:val="24"/>
        </w:rPr>
        <w:t xml:space="preserve">, através da expressão </w:t>
      </w:r>
      <w:r w:rsidR="00D26CD9" w:rsidRPr="001D7099">
        <w:rPr>
          <w:rFonts w:ascii="Times New Roman" w:hAnsi="Times New Roman"/>
          <w:sz w:val="24"/>
          <w:szCs w:val="24"/>
        </w:rPr>
        <w:t>3</w:t>
      </w:r>
      <w:r w:rsidR="00BC1096" w:rsidRPr="001D7099">
        <w:rPr>
          <w:rFonts w:ascii="Times New Roman" w:hAnsi="Times New Roman"/>
          <w:sz w:val="24"/>
          <w:szCs w:val="24"/>
        </w:rPr>
        <w:t>):</w:t>
      </w:r>
      <w:r w:rsidRPr="001D7099">
        <w:rPr>
          <w:rFonts w:ascii="Times New Roman" w:hAnsi="Times New Roman"/>
          <w:sz w:val="24"/>
          <w:szCs w:val="24"/>
        </w:rPr>
        <w:t xml:space="preserve"> </w:t>
      </w:r>
    </w:p>
    <w:p w14:paraId="1198CD2B" w14:textId="77777777" w:rsidR="001D1255" w:rsidRPr="001D7099" w:rsidRDefault="001D1255" w:rsidP="00694E7A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0560A94E" w14:textId="02E2B672" w:rsidR="008F7624" w:rsidRPr="001D7099" w:rsidRDefault="00BF5942" w:rsidP="008906F1">
      <w:pPr>
        <w:spacing w:line="480" w:lineRule="auto"/>
        <w:ind w:left="142"/>
        <w:jc w:val="left"/>
        <w:rPr>
          <w:rFonts w:ascii="Times New Roman" w:hAnsi="Times New Roman"/>
          <w:iCs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(</w:t>
      </w:r>
      <w:r w:rsidR="00D26CD9" w:rsidRPr="001D7099">
        <w:rPr>
          <w:rFonts w:ascii="Times New Roman" w:hAnsi="Times New Roman"/>
          <w:sz w:val="24"/>
          <w:szCs w:val="24"/>
        </w:rPr>
        <w:t>3</w:t>
      </w:r>
      <w:r w:rsidRPr="001D7099">
        <w:rPr>
          <w:rFonts w:ascii="Times New Roman" w:hAnsi="Times New Roman"/>
          <w:sz w:val="24"/>
          <w:szCs w:val="24"/>
        </w:rPr>
        <w:t>)</w:t>
      </w:r>
      <w:r w:rsidRPr="001D7099">
        <w:rPr>
          <w:rFonts w:ascii="Times New Roman" w:hAnsi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a,t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0,7 . PIB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. 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a, t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t</m:t>
                </m:r>
              </m:sub>
            </m:sSub>
          </m:den>
        </m:f>
      </m:oMath>
    </w:p>
    <w:p w14:paraId="3AE52D49" w14:textId="77777777" w:rsidR="00BC1096" w:rsidRPr="001D7099" w:rsidRDefault="00BC1096" w:rsidP="00694E7A">
      <w:pPr>
        <w:spacing w:line="240" w:lineRule="auto"/>
        <w:ind w:firstLine="142"/>
        <w:jc w:val="left"/>
        <w:rPr>
          <w:rFonts w:ascii="Times New Roman" w:hAnsi="Times New Roman"/>
          <w:iCs/>
          <w:sz w:val="24"/>
          <w:szCs w:val="24"/>
        </w:rPr>
      </w:pPr>
    </w:p>
    <w:p w14:paraId="37DC5C02" w14:textId="426E8907" w:rsidR="002C256D" w:rsidRPr="001D7099" w:rsidRDefault="00375330" w:rsidP="0035112F">
      <w:pPr>
        <w:spacing w:line="480" w:lineRule="auto"/>
        <w:rPr>
          <w:rFonts w:ascii="Times New Roman" w:hAnsi="Times New Roman"/>
          <w:iCs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Em que o quociente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a, t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t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1D7099">
        <w:rPr>
          <w:rFonts w:ascii="Times New Roman" w:hAnsi="Times New Roman"/>
          <w:iCs/>
          <w:sz w:val="24"/>
          <w:szCs w:val="24"/>
        </w:rPr>
        <w:t xml:space="preserve">representa a fração </w:t>
      </w:r>
      <w:r w:rsidR="00EA79DE" w:rsidRPr="001D7099">
        <w:rPr>
          <w:rFonts w:ascii="Times New Roman" w:hAnsi="Times New Roman"/>
          <w:iCs/>
          <w:sz w:val="24"/>
          <w:szCs w:val="24"/>
        </w:rPr>
        <w:t>da população</w:t>
      </w:r>
      <w:r w:rsidRPr="001D7099">
        <w:rPr>
          <w:rFonts w:ascii="Times New Roman" w:hAnsi="Times New Roman"/>
          <w:iCs/>
          <w:sz w:val="24"/>
          <w:szCs w:val="24"/>
        </w:rPr>
        <w:t xml:space="preserve"> </w:t>
      </w:r>
      <w:r w:rsidR="00E726B6" w:rsidRPr="001D7099">
        <w:rPr>
          <w:rFonts w:ascii="Times New Roman" w:hAnsi="Times New Roman"/>
          <w:iCs/>
          <w:sz w:val="24"/>
          <w:szCs w:val="24"/>
        </w:rPr>
        <w:t>associada</w:t>
      </w:r>
      <w:r w:rsidRPr="001D7099">
        <w:rPr>
          <w:rFonts w:ascii="Times New Roman" w:hAnsi="Times New Roman"/>
          <w:iCs/>
          <w:sz w:val="24"/>
          <w:szCs w:val="24"/>
        </w:rPr>
        <w:t xml:space="preserve"> à categoria profissional agrícola, numa </w:t>
      </w:r>
      <w:r w:rsidR="00211AE7" w:rsidRPr="001D7099">
        <w:rPr>
          <w:rFonts w:ascii="Times New Roman" w:hAnsi="Times New Roman"/>
          <w:iCs/>
          <w:sz w:val="24"/>
          <w:szCs w:val="24"/>
        </w:rPr>
        <w:t xml:space="preserve">determinado </w:t>
      </w:r>
      <w:r w:rsidRPr="001D7099">
        <w:rPr>
          <w:rFonts w:ascii="Times New Roman" w:hAnsi="Times New Roman"/>
          <w:iCs/>
          <w:sz w:val="24"/>
          <w:szCs w:val="24"/>
        </w:rPr>
        <w:t xml:space="preserve">ano </w:t>
      </w:r>
      <w:r w:rsidR="00211AE7" w:rsidRPr="001D7099">
        <w:rPr>
          <w:rFonts w:ascii="Times New Roman" w:hAnsi="Times New Roman"/>
          <w:iCs/>
          <w:sz w:val="24"/>
          <w:szCs w:val="24"/>
        </w:rPr>
        <w:t>da série</w:t>
      </w:r>
      <w:r w:rsidR="00EA79DE" w:rsidRPr="001D7099">
        <w:rPr>
          <w:rStyle w:val="FootnoteReference"/>
          <w:rFonts w:ascii="Times New Roman" w:hAnsi="Times New Roman"/>
          <w:iCs/>
          <w:sz w:val="24"/>
          <w:szCs w:val="24"/>
        </w:rPr>
        <w:footnoteReference w:id="7"/>
      </w:r>
      <w:r w:rsidRPr="001D7099">
        <w:rPr>
          <w:rFonts w:ascii="Times New Roman" w:hAnsi="Times New Roman"/>
          <w:iCs/>
          <w:sz w:val="24"/>
          <w:szCs w:val="24"/>
        </w:rPr>
        <w:t xml:space="preserve">. </w:t>
      </w:r>
    </w:p>
    <w:p w14:paraId="59B9EA32" w14:textId="77777777" w:rsidR="002C256D" w:rsidRPr="001D7099" w:rsidRDefault="002C256D" w:rsidP="007D5DB0">
      <w:pPr>
        <w:spacing w:line="276" w:lineRule="auto"/>
        <w:ind w:firstLine="142"/>
        <w:rPr>
          <w:rFonts w:ascii="Times New Roman" w:hAnsi="Times New Roman"/>
          <w:iCs/>
          <w:sz w:val="24"/>
          <w:szCs w:val="24"/>
        </w:rPr>
      </w:pPr>
    </w:p>
    <w:p w14:paraId="752A9E79" w14:textId="6E8924AD" w:rsidR="00790442" w:rsidRPr="001D7099" w:rsidRDefault="00E07EA8" w:rsidP="00730434">
      <w:pPr>
        <w:pStyle w:val="Heading1"/>
        <w:numPr>
          <w:ilvl w:val="1"/>
          <w:numId w:val="22"/>
        </w:numPr>
      </w:pPr>
      <w:bookmarkStart w:id="8" w:name="_Ref97368089"/>
      <w:bookmarkStart w:id="9" w:name="_Ref103170407"/>
      <w:bookmarkStart w:id="10" w:name="_Ref130984935"/>
      <w:bookmarkStart w:id="11" w:name="_Toc137755367"/>
      <w:r w:rsidRPr="001D7099">
        <w:lastRenderedPageBreak/>
        <w:t>S</w:t>
      </w:r>
      <w:r w:rsidR="00790442" w:rsidRPr="001D7099">
        <w:t xml:space="preserve">érie de </w:t>
      </w:r>
      <w:r w:rsidRPr="001D7099">
        <w:t>V</w:t>
      </w:r>
      <w:r w:rsidR="00790442" w:rsidRPr="001D7099">
        <w:t>alores de PIB</w:t>
      </w:r>
      <w:bookmarkEnd w:id="8"/>
      <w:bookmarkEnd w:id="9"/>
      <w:r w:rsidR="00D22EA7" w:rsidRPr="001D7099">
        <w:t xml:space="preserve"> e </w:t>
      </w:r>
      <w:r w:rsidRPr="001D7099">
        <w:t>P</w:t>
      </w:r>
      <w:r w:rsidR="00D22EA7" w:rsidRPr="001D7099">
        <w:t>A</w:t>
      </w:r>
      <w:r w:rsidRPr="001D7099">
        <w:t>B</w:t>
      </w:r>
      <w:bookmarkEnd w:id="10"/>
      <w:bookmarkEnd w:id="11"/>
    </w:p>
    <w:p w14:paraId="08F05121" w14:textId="6A79B9F1" w:rsidR="008906F1" w:rsidRPr="001D7099" w:rsidRDefault="00064AF8" w:rsidP="00605620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Dado que se pretende estudar a composição sectorial do rendimento</w:t>
      </w:r>
      <w:r w:rsidR="00DA157A" w:rsidRPr="001D7099">
        <w:rPr>
          <w:rFonts w:ascii="Times New Roman" w:hAnsi="Times New Roman"/>
          <w:sz w:val="24"/>
          <w:szCs w:val="24"/>
        </w:rPr>
        <w:t xml:space="preserve"> e do</w:t>
      </w:r>
      <w:r w:rsidR="00A3111E" w:rsidRPr="001D7099">
        <w:rPr>
          <w:rFonts w:ascii="Times New Roman" w:hAnsi="Times New Roman"/>
          <w:sz w:val="24"/>
          <w:szCs w:val="24"/>
        </w:rPr>
        <w:t xml:space="preserve"> PIB</w:t>
      </w:r>
      <w:r w:rsidRPr="001D7099">
        <w:rPr>
          <w:rFonts w:ascii="Times New Roman" w:hAnsi="Times New Roman"/>
          <w:sz w:val="24"/>
          <w:szCs w:val="24"/>
        </w:rPr>
        <w:t>, a análise irá focar-se sobre os valores agregados (PIB e PAB), embora</w:t>
      </w:r>
      <w:r w:rsidR="00A13ED6" w:rsidRPr="001D7099"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 xml:space="preserve">se recorra </w:t>
      </w:r>
      <w:r w:rsidR="00DA157A" w:rsidRPr="001D7099">
        <w:rPr>
          <w:rFonts w:ascii="Times New Roman" w:hAnsi="Times New Roman"/>
          <w:sz w:val="24"/>
          <w:szCs w:val="24"/>
        </w:rPr>
        <w:t xml:space="preserve">pontualmente </w:t>
      </w:r>
      <w:r w:rsidRPr="001D7099">
        <w:rPr>
          <w:rFonts w:ascii="Times New Roman" w:hAnsi="Times New Roman"/>
          <w:sz w:val="24"/>
          <w:szCs w:val="24"/>
        </w:rPr>
        <w:t xml:space="preserve">ao PIB pc. Os dados do PIB pc e PIB podem ser obtidos diretamente do apêndice de cálculo de Palma e Reis (2019). A série de PAB </w:t>
      </w:r>
      <w:r w:rsidR="00996A83" w:rsidRPr="001D7099">
        <w:rPr>
          <w:rFonts w:ascii="Times New Roman" w:hAnsi="Times New Roman"/>
          <w:sz w:val="24"/>
          <w:szCs w:val="24"/>
        </w:rPr>
        <w:t xml:space="preserve">foi </w:t>
      </w:r>
      <w:r w:rsidRPr="001D7099">
        <w:rPr>
          <w:rFonts w:ascii="Times New Roman" w:hAnsi="Times New Roman"/>
          <w:sz w:val="24"/>
          <w:szCs w:val="24"/>
        </w:rPr>
        <w:t xml:space="preserve">apurada a partir da expressão 3), assumindo </w:t>
      </w:r>
      <w:r w:rsidR="00DA157A" w:rsidRPr="001D7099">
        <w:rPr>
          <w:rFonts w:ascii="Times New Roman" w:hAnsi="Times New Roman"/>
          <w:sz w:val="24"/>
          <w:szCs w:val="24"/>
        </w:rPr>
        <w:t xml:space="preserve">a </w:t>
      </w:r>
      <w:r w:rsidRPr="001D7099">
        <w:rPr>
          <w:rFonts w:ascii="Times New Roman" w:hAnsi="Times New Roman"/>
          <w:sz w:val="24"/>
          <w:szCs w:val="24"/>
        </w:rPr>
        <w:t xml:space="preserve">variação da estrutura ocupacional da população </w:t>
      </w:r>
      <w:r w:rsidR="00DA157A" w:rsidRPr="001D7099">
        <w:rPr>
          <w:rFonts w:ascii="Times New Roman" w:hAnsi="Times New Roman"/>
          <w:sz w:val="24"/>
          <w:szCs w:val="24"/>
        </w:rPr>
        <w:t>estimada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DA157A" w:rsidRPr="001D7099">
        <w:rPr>
          <w:rFonts w:ascii="Times New Roman" w:hAnsi="Times New Roman"/>
          <w:sz w:val="24"/>
          <w:szCs w:val="24"/>
        </w:rPr>
        <w:t xml:space="preserve">no </w:t>
      </w:r>
      <w:r w:rsidRPr="001D7099">
        <w:rPr>
          <w:rFonts w:ascii="Times New Roman" w:hAnsi="Times New Roman"/>
          <w:sz w:val="24"/>
          <w:szCs w:val="24"/>
        </w:rPr>
        <w:t>Anexo 1. Apresentam-se os valores de PIB pc, PIB, PAB na Tabela 1 para um conjunto de marcos cronológicos, e a variação da estrutura ocupacional da população na Tabela 2</w:t>
      </w:r>
      <w:r w:rsidR="008906F1">
        <w:rPr>
          <w:rFonts w:ascii="Times New Roman" w:hAnsi="Times New Roman"/>
          <w:sz w:val="24"/>
          <w:szCs w:val="24"/>
        </w:rPr>
        <w:t xml:space="preserve">. </w:t>
      </w:r>
    </w:p>
    <w:p w14:paraId="272E912B" w14:textId="066502A8" w:rsidR="00064AF8" w:rsidRDefault="00064AF8" w:rsidP="0035112F">
      <w:pPr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14:paraId="3F5D8CDF" w14:textId="1E8B1DB1" w:rsidR="00354521" w:rsidRPr="00281AFC" w:rsidRDefault="00354521" w:rsidP="008906F1">
      <w:pPr>
        <w:spacing w:line="480" w:lineRule="auto"/>
        <w:ind w:firstLine="142"/>
        <w:jc w:val="center"/>
        <w:rPr>
          <w:rFonts w:ascii="Times New Roman" w:hAnsi="Times New Roman"/>
          <w:sz w:val="22"/>
          <w:szCs w:val="22"/>
        </w:rPr>
      </w:pPr>
      <w:r w:rsidRPr="00281AFC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281AFC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281AFC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281AFC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F535A2" w:rsidRPr="00281AFC">
        <w:rPr>
          <w:rFonts w:ascii="Times New Roman" w:hAnsi="Times New Roman"/>
          <w:b/>
          <w:bCs/>
          <w:noProof/>
          <w:sz w:val="22"/>
          <w:szCs w:val="22"/>
        </w:rPr>
        <w:t>1</w:t>
      </w:r>
      <w:r w:rsidRPr="00281AFC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281AFC">
        <w:rPr>
          <w:rFonts w:ascii="Times New Roman" w:hAnsi="Times New Roman"/>
          <w:b/>
          <w:bCs/>
          <w:sz w:val="22"/>
          <w:szCs w:val="22"/>
        </w:rPr>
        <w:t xml:space="preserve">: PIB pc, PIB, PAB (1600-1850) </w:t>
      </w:r>
    </w:p>
    <w:p w14:paraId="15B1A0FB" w14:textId="3160D4CC" w:rsidR="001C063C" w:rsidRDefault="00D526AB" w:rsidP="008906F1">
      <w:pPr>
        <w:spacing w:line="48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BCBEAA" wp14:editId="34A61E6A">
            <wp:extent cx="3614400" cy="228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00" cy="22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F15A1" w14:textId="135273C4" w:rsidR="00354521" w:rsidRPr="00281AFC" w:rsidRDefault="00354521" w:rsidP="008906F1">
      <w:pPr>
        <w:spacing w:line="480" w:lineRule="auto"/>
        <w:ind w:left="142"/>
        <w:jc w:val="center"/>
        <w:rPr>
          <w:rFonts w:ascii="Times New Roman" w:hAnsi="Times New Roman"/>
          <w:sz w:val="22"/>
          <w:szCs w:val="22"/>
        </w:rPr>
      </w:pPr>
      <w:r w:rsidRPr="00281AFC">
        <w:rPr>
          <w:rFonts w:ascii="Times New Roman" w:hAnsi="Times New Roman"/>
          <w:b/>
          <w:bCs/>
          <w:sz w:val="22"/>
          <w:szCs w:val="22"/>
        </w:rPr>
        <w:t>Fontes</w:t>
      </w:r>
      <w:r w:rsidRPr="00281AFC">
        <w:rPr>
          <w:rFonts w:ascii="Times New Roman" w:hAnsi="Times New Roman"/>
          <w:sz w:val="22"/>
          <w:szCs w:val="22"/>
        </w:rPr>
        <w:t>: Ver Texto</w:t>
      </w:r>
      <w:r w:rsidR="0035112F">
        <w:rPr>
          <w:rFonts w:ascii="Times New Roman" w:hAnsi="Times New Roman"/>
          <w:sz w:val="22"/>
          <w:szCs w:val="22"/>
        </w:rPr>
        <w:t xml:space="preserve">. </w:t>
      </w:r>
      <w:r w:rsidR="0035112F" w:rsidRPr="00281AFC">
        <w:rPr>
          <w:rFonts w:ascii="Times New Roman" w:hAnsi="Times New Roman"/>
          <w:b/>
          <w:bCs/>
          <w:sz w:val="22"/>
          <w:szCs w:val="22"/>
        </w:rPr>
        <w:t>Nota</w:t>
      </w:r>
      <w:r w:rsidR="0035112F" w:rsidRPr="00281AFC">
        <w:rPr>
          <w:rFonts w:ascii="Times New Roman" w:hAnsi="Times New Roman"/>
          <w:sz w:val="22"/>
          <w:szCs w:val="22"/>
        </w:rPr>
        <w:t xml:space="preserve">: </w:t>
      </w:r>
      <w:r w:rsidR="0035112F">
        <w:rPr>
          <w:rFonts w:ascii="Times New Roman" w:hAnsi="Times New Roman"/>
          <w:sz w:val="22"/>
          <w:szCs w:val="22"/>
        </w:rPr>
        <w:t>M</w:t>
      </w:r>
      <w:r w:rsidR="0035112F" w:rsidRPr="00281AFC">
        <w:rPr>
          <w:rFonts w:ascii="Times New Roman" w:hAnsi="Times New Roman"/>
          <w:sz w:val="22"/>
          <w:szCs w:val="22"/>
        </w:rPr>
        <w:t>édias centradas a 5 anos.</w:t>
      </w:r>
    </w:p>
    <w:p w14:paraId="774ADF17" w14:textId="77777777" w:rsidR="00A13ED6" w:rsidRDefault="00A13ED6" w:rsidP="00605620">
      <w:pPr>
        <w:spacing w:line="276" w:lineRule="auto"/>
        <w:ind w:left="142"/>
        <w:jc w:val="left"/>
        <w:rPr>
          <w:rFonts w:ascii="Times New Roman" w:hAnsi="Times New Roman"/>
          <w:sz w:val="22"/>
          <w:szCs w:val="22"/>
        </w:rPr>
      </w:pPr>
    </w:p>
    <w:p w14:paraId="0EA7E66E" w14:textId="00A1004E" w:rsidR="0035112F" w:rsidRDefault="00605620" w:rsidP="00605620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D7099">
        <w:rPr>
          <w:rFonts w:ascii="Times New Roman" w:hAnsi="Times New Roman"/>
          <w:sz w:val="24"/>
          <w:szCs w:val="24"/>
        </w:rPr>
        <w:t xml:space="preserve">odem distinguir-se três períodos a partir dos dados apresentados na Tabela 1. Entre 1600-1750, verifica-se um crescimento económico significativo, apesar de </w:t>
      </w:r>
      <w:r>
        <w:rPr>
          <w:rFonts w:ascii="Times New Roman" w:hAnsi="Times New Roman"/>
          <w:sz w:val="24"/>
          <w:szCs w:val="24"/>
        </w:rPr>
        <w:t xml:space="preserve">interrompido por </w:t>
      </w:r>
      <w:r w:rsidRPr="001D7099"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 xml:space="preserve"> recuo</w:t>
      </w:r>
      <w:r w:rsidRPr="001D7099">
        <w:rPr>
          <w:rFonts w:ascii="Times New Roman" w:hAnsi="Times New Roman"/>
          <w:sz w:val="24"/>
          <w:szCs w:val="24"/>
        </w:rPr>
        <w:t xml:space="preserve"> acentuada na transição entre o século XVII e XVIII. Nesse período, o PIB mais que duplica (129%) e o PAB cresce 77%. Dado que a população aumentou apenas 36%, o PIB pc progrediu 71%.</w:t>
      </w:r>
      <w:r>
        <w:rPr>
          <w:rFonts w:ascii="Times New Roman" w:hAnsi="Times New Roman"/>
          <w:sz w:val="24"/>
          <w:szCs w:val="24"/>
        </w:rPr>
        <w:t xml:space="preserve"> Durante o mesmo período, a </w:t>
      </w:r>
      <w:r w:rsidRPr="001D7099">
        <w:rPr>
          <w:rFonts w:ascii="Times New Roman" w:hAnsi="Times New Roman"/>
          <w:sz w:val="24"/>
          <w:szCs w:val="24"/>
        </w:rPr>
        <w:t>fração da população dedicada à agricultura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lastRenderedPageBreak/>
        <w:t>diminui de 70% para pouco mais de 53%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D7099">
        <w:rPr>
          <w:rFonts w:ascii="Times New Roman" w:hAnsi="Times New Roman"/>
          <w:sz w:val="24"/>
          <w:szCs w:val="24"/>
        </w:rPr>
        <w:t>ainda assim, distante da estimativa equivalente para Inglaterra</w:t>
      </w:r>
      <w:r w:rsidRPr="001D7099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Pr="001D7099">
        <w:rPr>
          <w:rFonts w:ascii="Times New Roman" w:hAnsi="Times New Roman"/>
          <w:sz w:val="24"/>
          <w:szCs w:val="24"/>
        </w:rPr>
        <w:t>.</w:t>
      </w:r>
    </w:p>
    <w:p w14:paraId="064B1CBA" w14:textId="77777777" w:rsidR="00605620" w:rsidRPr="00281AFC" w:rsidRDefault="00605620" w:rsidP="00605620">
      <w:pPr>
        <w:spacing w:line="276" w:lineRule="auto"/>
        <w:ind w:firstLine="142"/>
        <w:rPr>
          <w:rFonts w:ascii="Times New Roman" w:hAnsi="Times New Roman"/>
          <w:sz w:val="22"/>
          <w:szCs w:val="22"/>
        </w:rPr>
      </w:pPr>
    </w:p>
    <w:p w14:paraId="57ADDE49" w14:textId="4CDECE72" w:rsidR="00D526AB" w:rsidRPr="00281AFC" w:rsidRDefault="00D526AB" w:rsidP="008906F1">
      <w:pPr>
        <w:spacing w:line="480" w:lineRule="auto"/>
        <w:ind w:firstLine="142"/>
        <w:jc w:val="center"/>
        <w:rPr>
          <w:rFonts w:ascii="Times New Roman" w:hAnsi="Times New Roman"/>
          <w:sz w:val="22"/>
          <w:szCs w:val="22"/>
        </w:rPr>
      </w:pPr>
      <w:r w:rsidRPr="00281AFC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281AFC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281AFC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281AFC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F535A2" w:rsidRPr="00281AFC">
        <w:rPr>
          <w:rFonts w:ascii="Times New Roman" w:hAnsi="Times New Roman"/>
          <w:b/>
          <w:bCs/>
          <w:noProof/>
          <w:sz w:val="22"/>
          <w:szCs w:val="22"/>
        </w:rPr>
        <w:t>2</w:t>
      </w:r>
      <w:r w:rsidRPr="00281AFC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281AFC">
        <w:rPr>
          <w:rFonts w:ascii="Times New Roman" w:hAnsi="Times New Roman"/>
          <w:b/>
          <w:bCs/>
          <w:sz w:val="22"/>
          <w:szCs w:val="22"/>
        </w:rPr>
        <w:t xml:space="preserve">: População e Estrutura Ocupacional (1600-1850) </w:t>
      </w:r>
    </w:p>
    <w:p w14:paraId="4A83E8BC" w14:textId="626EA979" w:rsidR="00354521" w:rsidRPr="001D7099" w:rsidRDefault="00D526AB" w:rsidP="008906F1">
      <w:pPr>
        <w:spacing w:line="48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F50B838" wp14:editId="42CD8DEF">
            <wp:extent cx="4939200" cy="2422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24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831D" w14:textId="5A3FCD18" w:rsidR="00D526AB" w:rsidRPr="00281AFC" w:rsidRDefault="00D526AB" w:rsidP="008906F1">
      <w:pPr>
        <w:spacing w:line="480" w:lineRule="auto"/>
        <w:ind w:left="142"/>
        <w:jc w:val="center"/>
        <w:rPr>
          <w:rFonts w:ascii="Times New Roman" w:hAnsi="Times New Roman"/>
          <w:sz w:val="22"/>
          <w:szCs w:val="22"/>
        </w:rPr>
      </w:pPr>
      <w:r w:rsidRPr="00281AFC">
        <w:rPr>
          <w:rFonts w:ascii="Times New Roman" w:hAnsi="Times New Roman"/>
          <w:b/>
          <w:bCs/>
          <w:sz w:val="22"/>
          <w:szCs w:val="22"/>
        </w:rPr>
        <w:t>Fontes</w:t>
      </w:r>
      <w:r w:rsidRPr="00281AFC">
        <w:rPr>
          <w:rFonts w:ascii="Times New Roman" w:hAnsi="Times New Roman"/>
          <w:sz w:val="22"/>
          <w:szCs w:val="22"/>
        </w:rPr>
        <w:t>: Anexo 1</w:t>
      </w:r>
    </w:p>
    <w:p w14:paraId="63F5225A" w14:textId="77777777" w:rsidR="00D526AB" w:rsidRPr="001D7099" w:rsidRDefault="00D526AB" w:rsidP="0035112F">
      <w:pPr>
        <w:spacing w:line="276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14:paraId="2DEFF9BF" w14:textId="7E398266" w:rsidR="0035112F" w:rsidRDefault="00996A83" w:rsidP="00605620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Deste modo</w:t>
      </w:r>
      <w:r w:rsidR="00064AF8" w:rsidRPr="001D7099">
        <w:rPr>
          <w:rFonts w:ascii="Times New Roman" w:hAnsi="Times New Roman"/>
          <w:sz w:val="24"/>
          <w:szCs w:val="24"/>
        </w:rPr>
        <w:t xml:space="preserve">, o crescimento do PAB </w:t>
      </w:r>
      <w:r w:rsidR="0035112F">
        <w:rPr>
          <w:rFonts w:ascii="Times New Roman" w:hAnsi="Times New Roman"/>
          <w:sz w:val="24"/>
          <w:szCs w:val="24"/>
        </w:rPr>
        <w:t xml:space="preserve">esteve associado </w:t>
      </w:r>
      <w:r w:rsidR="00064AF8" w:rsidRPr="001D7099">
        <w:rPr>
          <w:rFonts w:ascii="Times New Roman" w:hAnsi="Times New Roman"/>
          <w:sz w:val="24"/>
          <w:szCs w:val="24"/>
        </w:rPr>
        <w:t>a um incremento significativo da produtividade da mão-de-obra</w:t>
      </w:r>
      <w:r w:rsidR="007F6DA4" w:rsidRPr="001D7099">
        <w:rPr>
          <w:rFonts w:ascii="Times New Roman" w:hAnsi="Times New Roman"/>
          <w:sz w:val="24"/>
          <w:szCs w:val="24"/>
        </w:rPr>
        <w:t xml:space="preserve"> (P</w:t>
      </w:r>
      <w:r w:rsidR="007F6DA4" w:rsidRPr="001D7099">
        <w:rPr>
          <w:rFonts w:ascii="Times New Roman" w:hAnsi="Times New Roman"/>
          <w:sz w:val="24"/>
          <w:szCs w:val="24"/>
          <w:vertAlign w:val="superscript"/>
        </w:rPr>
        <w:t>*</w:t>
      </w:r>
      <w:r w:rsidR="007F6DA4" w:rsidRPr="001D7099">
        <w:rPr>
          <w:rFonts w:ascii="Times New Roman" w:hAnsi="Times New Roman"/>
          <w:sz w:val="24"/>
          <w:szCs w:val="24"/>
          <w:vertAlign w:val="subscript"/>
        </w:rPr>
        <w:t>ag</w:t>
      </w:r>
      <w:r w:rsidR="007F6DA4" w:rsidRPr="001D7099">
        <w:rPr>
          <w:rFonts w:ascii="Times New Roman" w:hAnsi="Times New Roman"/>
          <w:sz w:val="24"/>
          <w:szCs w:val="24"/>
        </w:rPr>
        <w:t>)</w:t>
      </w:r>
      <w:r w:rsidR="00064AF8" w:rsidRPr="001D7099">
        <w:rPr>
          <w:rFonts w:ascii="Times New Roman" w:hAnsi="Times New Roman"/>
          <w:sz w:val="24"/>
          <w:szCs w:val="24"/>
        </w:rPr>
        <w:t xml:space="preserve">. </w:t>
      </w:r>
      <w:r w:rsidR="007F6DA4" w:rsidRPr="001D7099">
        <w:rPr>
          <w:rFonts w:ascii="Times New Roman" w:hAnsi="Times New Roman"/>
          <w:sz w:val="24"/>
          <w:szCs w:val="24"/>
        </w:rPr>
        <w:t xml:space="preserve">Calculando esse fator a partir do quociente entre o PAB e a população da categoria profissional Agrícola (cf. Anexo II), é possível </w:t>
      </w:r>
      <w:r w:rsidR="00360AE5" w:rsidRPr="001D7099">
        <w:rPr>
          <w:rFonts w:ascii="Times New Roman" w:hAnsi="Times New Roman"/>
          <w:sz w:val="24"/>
          <w:szCs w:val="24"/>
        </w:rPr>
        <w:t xml:space="preserve">estimar </w:t>
      </w:r>
      <w:r w:rsidR="0087320D" w:rsidRPr="001D7099">
        <w:rPr>
          <w:rFonts w:ascii="Times New Roman" w:hAnsi="Times New Roman"/>
          <w:sz w:val="24"/>
          <w:szCs w:val="24"/>
        </w:rPr>
        <w:t xml:space="preserve">um crescimento desse fator de </w:t>
      </w:r>
      <w:r w:rsidR="00360AE5" w:rsidRPr="001D7099">
        <w:rPr>
          <w:rFonts w:ascii="Times New Roman" w:hAnsi="Times New Roman"/>
          <w:sz w:val="24"/>
          <w:szCs w:val="24"/>
        </w:rPr>
        <w:t>69% entr</w:t>
      </w:r>
      <w:r w:rsidR="0087320D" w:rsidRPr="001D7099">
        <w:rPr>
          <w:rFonts w:ascii="Times New Roman" w:hAnsi="Times New Roman"/>
          <w:sz w:val="24"/>
          <w:szCs w:val="24"/>
        </w:rPr>
        <w:t>e</w:t>
      </w:r>
      <w:r w:rsidR="00360AE5" w:rsidRPr="001D7099">
        <w:rPr>
          <w:rFonts w:ascii="Times New Roman" w:hAnsi="Times New Roman"/>
          <w:sz w:val="24"/>
          <w:szCs w:val="24"/>
        </w:rPr>
        <w:t xml:space="preserve"> 1600-1750. </w:t>
      </w:r>
      <w:r w:rsidR="00064AF8" w:rsidRPr="001D7099">
        <w:rPr>
          <w:rFonts w:ascii="Times New Roman" w:hAnsi="Times New Roman"/>
          <w:sz w:val="24"/>
          <w:szCs w:val="24"/>
        </w:rPr>
        <w:t xml:space="preserve">Esse aumento de produtividade terá permitido libertar mão-de-obra para setores mais qualificados da economia, embora não tenha despoletado, inicialmente, uma crescimento </w:t>
      </w:r>
      <w:r w:rsidRPr="001D7099">
        <w:rPr>
          <w:rFonts w:ascii="Times New Roman" w:hAnsi="Times New Roman"/>
          <w:sz w:val="24"/>
          <w:szCs w:val="24"/>
        </w:rPr>
        <w:t xml:space="preserve">da </w:t>
      </w:r>
      <w:r w:rsidR="00064AF8" w:rsidRPr="001D7099">
        <w:rPr>
          <w:rFonts w:ascii="Times New Roman" w:hAnsi="Times New Roman"/>
          <w:sz w:val="24"/>
          <w:szCs w:val="24"/>
        </w:rPr>
        <w:t>urbanização</w:t>
      </w:r>
      <w:r w:rsidR="00605620">
        <w:rPr>
          <w:rFonts w:ascii="Times New Roman" w:hAnsi="Times New Roman"/>
          <w:sz w:val="24"/>
          <w:szCs w:val="24"/>
        </w:rPr>
        <w:t xml:space="preserve">. De facto, </w:t>
      </w:r>
      <w:r w:rsidR="00064AF8" w:rsidRPr="001D7099">
        <w:rPr>
          <w:rFonts w:ascii="Times New Roman" w:hAnsi="Times New Roman"/>
          <w:sz w:val="24"/>
          <w:szCs w:val="24"/>
        </w:rPr>
        <w:t xml:space="preserve">o setor </w:t>
      </w:r>
      <w:r w:rsidR="003330B1" w:rsidRPr="001D7099">
        <w:rPr>
          <w:rFonts w:ascii="Times New Roman" w:hAnsi="Times New Roman"/>
          <w:sz w:val="24"/>
          <w:szCs w:val="24"/>
        </w:rPr>
        <w:t xml:space="preserve">da economia que </w:t>
      </w:r>
      <w:r w:rsidR="00064AF8" w:rsidRPr="001D7099">
        <w:rPr>
          <w:rFonts w:ascii="Times New Roman" w:hAnsi="Times New Roman"/>
          <w:sz w:val="24"/>
          <w:szCs w:val="24"/>
        </w:rPr>
        <w:t xml:space="preserve">mais beneficiou </w:t>
      </w:r>
      <w:r w:rsidR="003330B1" w:rsidRPr="001D7099">
        <w:rPr>
          <w:rFonts w:ascii="Times New Roman" w:hAnsi="Times New Roman"/>
          <w:sz w:val="24"/>
          <w:szCs w:val="24"/>
        </w:rPr>
        <w:t xml:space="preserve">da queda relativa da população </w:t>
      </w:r>
      <w:r w:rsidRPr="001D7099">
        <w:rPr>
          <w:rFonts w:ascii="Times New Roman" w:hAnsi="Times New Roman"/>
          <w:sz w:val="24"/>
          <w:szCs w:val="24"/>
        </w:rPr>
        <w:t xml:space="preserve">agrícola </w:t>
      </w:r>
      <w:r w:rsidR="0035112F">
        <w:rPr>
          <w:rFonts w:ascii="Times New Roman" w:hAnsi="Times New Roman"/>
          <w:sz w:val="24"/>
          <w:szCs w:val="24"/>
        </w:rPr>
        <w:t xml:space="preserve">foi a economia rural </w:t>
      </w:r>
      <w:r w:rsidR="00CB599A" w:rsidRPr="001D7099">
        <w:rPr>
          <w:rFonts w:ascii="Times New Roman" w:hAnsi="Times New Roman"/>
          <w:sz w:val="24"/>
          <w:szCs w:val="24"/>
        </w:rPr>
        <w:t>desligada agricultura (</w:t>
      </w:r>
      <w:r w:rsidR="0035112F">
        <w:rPr>
          <w:rFonts w:ascii="Times New Roman" w:hAnsi="Times New Roman"/>
          <w:sz w:val="24"/>
          <w:szCs w:val="24"/>
        </w:rPr>
        <w:t>categoria RNAG</w:t>
      </w:r>
      <w:r w:rsidR="00CB599A" w:rsidRPr="001D7099">
        <w:rPr>
          <w:rFonts w:ascii="Times New Roman" w:hAnsi="Times New Roman"/>
          <w:sz w:val="24"/>
          <w:szCs w:val="24"/>
        </w:rPr>
        <w:t>)</w:t>
      </w:r>
      <w:r w:rsidR="00DA157A" w:rsidRPr="001D7099">
        <w:rPr>
          <w:rFonts w:ascii="Times New Roman" w:hAnsi="Times New Roman"/>
          <w:sz w:val="24"/>
          <w:szCs w:val="24"/>
        </w:rPr>
        <w:t xml:space="preserve">, </w:t>
      </w:r>
      <w:r w:rsidR="0035112F">
        <w:rPr>
          <w:rFonts w:ascii="Times New Roman" w:hAnsi="Times New Roman"/>
          <w:sz w:val="24"/>
          <w:szCs w:val="24"/>
        </w:rPr>
        <w:t xml:space="preserve">cujo peso na estrutura ocupacional </w:t>
      </w:r>
      <w:r w:rsidR="00DA157A" w:rsidRPr="001D7099">
        <w:rPr>
          <w:rFonts w:ascii="Times New Roman" w:hAnsi="Times New Roman"/>
          <w:sz w:val="24"/>
          <w:szCs w:val="24"/>
        </w:rPr>
        <w:t xml:space="preserve">passou </w:t>
      </w:r>
      <w:r w:rsidR="00064AF8" w:rsidRPr="001D7099">
        <w:rPr>
          <w:rFonts w:ascii="Times New Roman" w:hAnsi="Times New Roman"/>
          <w:sz w:val="24"/>
          <w:szCs w:val="24"/>
        </w:rPr>
        <w:t xml:space="preserve">de 17% para 29%. </w:t>
      </w:r>
    </w:p>
    <w:p w14:paraId="248DD0D0" w14:textId="6F7091BA" w:rsidR="00064AF8" w:rsidRPr="001D7099" w:rsidRDefault="0035112F" w:rsidP="0035112F">
      <w:pPr>
        <w:spacing w:line="48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 1700-1750, a tendência mantém-se – a população agrícola </w:t>
      </w:r>
      <w:r w:rsidR="00605620">
        <w:rPr>
          <w:rFonts w:ascii="Times New Roman" w:hAnsi="Times New Roman"/>
          <w:sz w:val="24"/>
          <w:szCs w:val="24"/>
        </w:rPr>
        <w:t xml:space="preserve">regista mesmo um declínio </w:t>
      </w:r>
      <w:r>
        <w:rPr>
          <w:rFonts w:ascii="Times New Roman" w:hAnsi="Times New Roman"/>
          <w:sz w:val="24"/>
          <w:szCs w:val="24"/>
        </w:rPr>
        <w:t xml:space="preserve">em valor absoluto – mas acompanhada pelo </w:t>
      </w:r>
      <w:r w:rsidR="00064AF8" w:rsidRPr="001D7099">
        <w:rPr>
          <w:rFonts w:ascii="Times New Roman" w:hAnsi="Times New Roman"/>
          <w:sz w:val="24"/>
          <w:szCs w:val="24"/>
        </w:rPr>
        <w:t>aumento da taxa de urbanização (+38%)</w:t>
      </w:r>
      <w:r>
        <w:rPr>
          <w:rFonts w:ascii="Times New Roman" w:hAnsi="Times New Roman"/>
          <w:sz w:val="24"/>
          <w:szCs w:val="24"/>
        </w:rPr>
        <w:t>,</w:t>
      </w:r>
      <w:r w:rsidR="00064AF8" w:rsidRPr="001D7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atingindo </w:t>
      </w:r>
      <w:r w:rsidR="00D1442D" w:rsidRPr="001D7099">
        <w:rPr>
          <w:rFonts w:ascii="Times New Roman" w:hAnsi="Times New Roman"/>
          <w:sz w:val="24"/>
          <w:szCs w:val="24"/>
        </w:rPr>
        <w:t>17,3%</w:t>
      </w:r>
      <w:r>
        <w:rPr>
          <w:rFonts w:ascii="Times New Roman" w:hAnsi="Times New Roman"/>
          <w:sz w:val="24"/>
          <w:szCs w:val="24"/>
        </w:rPr>
        <w:t xml:space="preserve"> a meio do século</w:t>
      </w:r>
      <w:r w:rsidR="00605620">
        <w:rPr>
          <w:rFonts w:ascii="Times New Roman" w:hAnsi="Times New Roman"/>
          <w:sz w:val="24"/>
          <w:szCs w:val="24"/>
        </w:rPr>
        <w:t xml:space="preserve">. Nesse período, as estimativas apontam para uma taxa de </w:t>
      </w:r>
      <w:r w:rsidR="00605620">
        <w:rPr>
          <w:rFonts w:ascii="Times New Roman" w:hAnsi="Times New Roman"/>
          <w:sz w:val="24"/>
          <w:szCs w:val="24"/>
        </w:rPr>
        <w:lastRenderedPageBreak/>
        <w:t xml:space="preserve">urbanização média </w:t>
      </w:r>
      <w:r w:rsidR="008C650B" w:rsidRPr="001D7099">
        <w:rPr>
          <w:rFonts w:ascii="Times New Roman" w:hAnsi="Times New Roman"/>
          <w:sz w:val="24"/>
          <w:szCs w:val="24"/>
        </w:rPr>
        <w:t xml:space="preserve">em redor de </w:t>
      </w:r>
      <w:r w:rsidR="003E3633" w:rsidRPr="001D7099">
        <w:rPr>
          <w:rFonts w:ascii="Times New Roman" w:hAnsi="Times New Roman"/>
          <w:sz w:val="24"/>
          <w:szCs w:val="24"/>
        </w:rPr>
        <w:t>1</w:t>
      </w:r>
      <w:r w:rsidR="008C650B" w:rsidRPr="001D7099">
        <w:rPr>
          <w:rFonts w:ascii="Times New Roman" w:hAnsi="Times New Roman"/>
          <w:sz w:val="24"/>
          <w:szCs w:val="24"/>
        </w:rPr>
        <w:t>2</w:t>
      </w:r>
      <w:r w:rsidR="003E3633" w:rsidRPr="001D7099">
        <w:rPr>
          <w:rFonts w:ascii="Times New Roman" w:hAnsi="Times New Roman"/>
          <w:sz w:val="24"/>
          <w:szCs w:val="24"/>
        </w:rPr>
        <w:t>%</w:t>
      </w:r>
      <w:r w:rsidR="00605620" w:rsidRPr="00605620">
        <w:t xml:space="preserve"> </w:t>
      </w:r>
      <w:r w:rsidR="00605620" w:rsidRPr="00605620">
        <w:rPr>
          <w:rFonts w:ascii="Times New Roman" w:hAnsi="Times New Roman"/>
          <w:sz w:val="24"/>
          <w:szCs w:val="24"/>
        </w:rPr>
        <w:t>Malanima (2010, 262)</w:t>
      </w:r>
      <w:r w:rsidR="003E3633" w:rsidRPr="001D7099"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 w:rsidR="003E3633" w:rsidRPr="001D7099">
        <w:rPr>
          <w:rFonts w:ascii="Times New Roman" w:hAnsi="Times New Roman"/>
          <w:sz w:val="24"/>
          <w:szCs w:val="24"/>
        </w:rPr>
        <w:t xml:space="preserve">. </w:t>
      </w:r>
      <w:r w:rsidR="00360AE5" w:rsidRPr="001D7099">
        <w:rPr>
          <w:rFonts w:ascii="Times New Roman" w:hAnsi="Times New Roman"/>
          <w:sz w:val="24"/>
          <w:szCs w:val="24"/>
        </w:rPr>
        <w:t xml:space="preserve">É expectável que </w:t>
      </w:r>
      <w:r w:rsidR="008C650B" w:rsidRPr="001D7099">
        <w:rPr>
          <w:rFonts w:ascii="Times New Roman" w:hAnsi="Times New Roman"/>
          <w:sz w:val="24"/>
          <w:szCs w:val="24"/>
        </w:rPr>
        <w:t>esta</w:t>
      </w:r>
      <w:r w:rsidR="00360AE5" w:rsidRPr="001D7099">
        <w:rPr>
          <w:rFonts w:ascii="Times New Roman" w:hAnsi="Times New Roman"/>
          <w:sz w:val="24"/>
          <w:szCs w:val="24"/>
        </w:rPr>
        <w:t xml:space="preserve"> recomposição setorial da mão-de-obra no sentido de atividades de maior valor acrescentado </w:t>
      </w:r>
      <w:r w:rsidR="008C650B" w:rsidRPr="001D7099">
        <w:rPr>
          <w:rFonts w:ascii="Times New Roman" w:hAnsi="Times New Roman"/>
          <w:sz w:val="24"/>
          <w:szCs w:val="24"/>
        </w:rPr>
        <w:t>(</w:t>
      </w:r>
      <w:r w:rsidR="00E053DD">
        <w:rPr>
          <w:rFonts w:ascii="Times New Roman" w:hAnsi="Times New Roman"/>
          <w:sz w:val="24"/>
          <w:szCs w:val="24"/>
        </w:rPr>
        <w:t xml:space="preserve">categorias </w:t>
      </w:r>
      <w:r w:rsidR="008C650B" w:rsidRPr="001D7099">
        <w:rPr>
          <w:rFonts w:ascii="Times New Roman" w:hAnsi="Times New Roman"/>
          <w:sz w:val="24"/>
          <w:szCs w:val="24"/>
        </w:rPr>
        <w:t xml:space="preserve">Urbana e RNAG) </w:t>
      </w:r>
      <w:r w:rsidR="00360AE5" w:rsidRPr="001D7099">
        <w:rPr>
          <w:rFonts w:ascii="Times New Roman" w:hAnsi="Times New Roman"/>
          <w:sz w:val="24"/>
          <w:szCs w:val="24"/>
        </w:rPr>
        <w:t xml:space="preserve">tenha tido um impacto </w:t>
      </w:r>
      <w:r w:rsidR="00CB599A" w:rsidRPr="001D7099">
        <w:rPr>
          <w:rFonts w:ascii="Times New Roman" w:hAnsi="Times New Roman"/>
          <w:sz w:val="24"/>
          <w:szCs w:val="24"/>
        </w:rPr>
        <w:t xml:space="preserve">positivo no </w:t>
      </w:r>
      <w:r w:rsidR="00360AE5" w:rsidRPr="001D7099">
        <w:rPr>
          <w:rFonts w:ascii="Times New Roman" w:hAnsi="Times New Roman"/>
          <w:sz w:val="24"/>
          <w:szCs w:val="24"/>
        </w:rPr>
        <w:t>crescimento do ISR</w:t>
      </w:r>
      <w:r w:rsidR="008C650B" w:rsidRPr="001D7099">
        <w:rPr>
          <w:rFonts w:ascii="Times New Roman" w:hAnsi="Times New Roman"/>
          <w:sz w:val="24"/>
          <w:szCs w:val="24"/>
        </w:rPr>
        <w:t xml:space="preserve"> entre 1600-1750.</w:t>
      </w:r>
      <w:r w:rsidR="00360AE5" w:rsidRPr="001D7099">
        <w:rPr>
          <w:rFonts w:ascii="Times New Roman" w:hAnsi="Times New Roman"/>
          <w:sz w:val="24"/>
          <w:szCs w:val="24"/>
        </w:rPr>
        <w:t xml:space="preserve"> </w:t>
      </w:r>
      <w:r w:rsidR="00CB599A" w:rsidRPr="001D7099">
        <w:rPr>
          <w:rFonts w:ascii="Times New Roman" w:hAnsi="Times New Roman"/>
          <w:sz w:val="24"/>
          <w:szCs w:val="24"/>
        </w:rPr>
        <w:t>N</w:t>
      </w:r>
      <w:r w:rsidR="008C650B" w:rsidRPr="001D7099">
        <w:rPr>
          <w:rFonts w:ascii="Times New Roman" w:hAnsi="Times New Roman"/>
          <w:sz w:val="24"/>
          <w:szCs w:val="24"/>
        </w:rPr>
        <w:t xml:space="preserve">a primeira metade </w:t>
      </w:r>
      <w:r w:rsidR="00360AE5" w:rsidRPr="001D7099">
        <w:rPr>
          <w:rFonts w:ascii="Times New Roman" w:hAnsi="Times New Roman"/>
          <w:sz w:val="24"/>
          <w:szCs w:val="24"/>
        </w:rPr>
        <w:t>do século XVIII</w:t>
      </w:r>
      <w:r w:rsidR="008C650B" w:rsidRPr="001D7099">
        <w:rPr>
          <w:rFonts w:ascii="Times New Roman" w:hAnsi="Times New Roman"/>
          <w:sz w:val="24"/>
          <w:szCs w:val="24"/>
        </w:rPr>
        <w:t xml:space="preserve">, verificou-se, com efeito, um crescimento económico expressivo, </w:t>
      </w:r>
      <w:r w:rsidR="00B6668A" w:rsidRPr="001D7099">
        <w:rPr>
          <w:rFonts w:ascii="Times New Roman" w:hAnsi="Times New Roman"/>
          <w:sz w:val="24"/>
          <w:szCs w:val="24"/>
        </w:rPr>
        <w:t xml:space="preserve">que permitiu convergir </w:t>
      </w:r>
      <w:r w:rsidR="00064AF8" w:rsidRPr="001D7099">
        <w:rPr>
          <w:rFonts w:ascii="Times New Roman" w:hAnsi="Times New Roman"/>
          <w:sz w:val="24"/>
          <w:szCs w:val="24"/>
        </w:rPr>
        <w:t xml:space="preserve">economicamente </w:t>
      </w:r>
      <w:r w:rsidR="008C650B" w:rsidRPr="001D7099">
        <w:rPr>
          <w:rFonts w:ascii="Times New Roman" w:hAnsi="Times New Roman"/>
          <w:sz w:val="24"/>
          <w:szCs w:val="24"/>
        </w:rPr>
        <w:t xml:space="preserve">(em termos de PIB c) </w:t>
      </w:r>
      <w:r w:rsidR="00064AF8" w:rsidRPr="001D7099">
        <w:rPr>
          <w:rFonts w:ascii="Times New Roman" w:hAnsi="Times New Roman"/>
          <w:sz w:val="24"/>
          <w:szCs w:val="24"/>
        </w:rPr>
        <w:t xml:space="preserve">com o Reino-unido </w:t>
      </w:r>
      <w:r w:rsidR="0033378F" w:rsidRPr="001D7099">
        <w:rPr>
          <w:rFonts w:ascii="Times New Roman" w:hAnsi="Times New Roman"/>
          <w:sz w:val="24"/>
          <w:szCs w:val="24"/>
        </w:rPr>
        <w:t>(</w:t>
      </w:r>
      <w:r w:rsidR="00996A83" w:rsidRPr="001D7099">
        <w:rPr>
          <w:rFonts w:ascii="Times New Roman" w:hAnsi="Times New Roman"/>
          <w:sz w:val="24"/>
          <w:szCs w:val="24"/>
        </w:rPr>
        <w:t xml:space="preserve">para </w:t>
      </w:r>
      <w:r w:rsidR="0033378F" w:rsidRPr="001D7099">
        <w:rPr>
          <w:rFonts w:ascii="Times New Roman" w:hAnsi="Times New Roman"/>
          <w:sz w:val="24"/>
          <w:szCs w:val="24"/>
        </w:rPr>
        <w:t xml:space="preserve">77%) </w:t>
      </w:r>
      <w:r w:rsidR="00064AF8" w:rsidRPr="001D7099">
        <w:rPr>
          <w:rFonts w:ascii="Times New Roman" w:hAnsi="Times New Roman"/>
          <w:sz w:val="24"/>
          <w:szCs w:val="24"/>
        </w:rPr>
        <w:t>e alcança</w:t>
      </w:r>
      <w:r w:rsidR="00B6668A" w:rsidRPr="001D7099">
        <w:rPr>
          <w:rFonts w:ascii="Times New Roman" w:hAnsi="Times New Roman"/>
          <w:sz w:val="24"/>
          <w:szCs w:val="24"/>
        </w:rPr>
        <w:t>r</w:t>
      </w:r>
      <w:r w:rsidR="00064AF8" w:rsidRPr="001D7099">
        <w:rPr>
          <w:rFonts w:ascii="Times New Roman" w:hAnsi="Times New Roman"/>
          <w:sz w:val="24"/>
          <w:szCs w:val="24"/>
        </w:rPr>
        <w:t xml:space="preserve"> o PIB pc do Norte de Itália (Palma &amp; Reis 2019, 500). A década de 1750 representa, aliás, o pico dos níveis de PIB pc em Portugal. Em termos reais, esse nível de rendimento apenas seria alcançado na terceira década do século XX</w:t>
      </w:r>
      <w:r w:rsidR="00064AF8" w:rsidRPr="001D7099">
        <w:rPr>
          <w:rStyle w:val="FootnoteReference"/>
          <w:rFonts w:ascii="Times New Roman" w:hAnsi="Times New Roman"/>
          <w:sz w:val="24"/>
          <w:szCs w:val="24"/>
        </w:rPr>
        <w:footnoteReference w:id="10"/>
      </w:r>
      <w:r w:rsidR="00064AF8" w:rsidRPr="001D7099">
        <w:rPr>
          <w:rFonts w:ascii="Times New Roman" w:hAnsi="Times New Roman"/>
          <w:sz w:val="24"/>
          <w:szCs w:val="24"/>
        </w:rPr>
        <w:t xml:space="preserve">. </w:t>
      </w:r>
    </w:p>
    <w:p w14:paraId="564C8783" w14:textId="585936C6" w:rsidR="00301238" w:rsidRPr="001D7099" w:rsidRDefault="00064AF8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O período seguinte (1750-1813) é </w:t>
      </w:r>
      <w:r w:rsidR="00D1442D" w:rsidRPr="001D7099">
        <w:rPr>
          <w:rFonts w:ascii="Times New Roman" w:hAnsi="Times New Roman"/>
          <w:sz w:val="24"/>
          <w:szCs w:val="24"/>
        </w:rPr>
        <w:t xml:space="preserve">marcado </w:t>
      </w:r>
      <w:r w:rsidRPr="001D7099">
        <w:rPr>
          <w:rFonts w:ascii="Times New Roman" w:hAnsi="Times New Roman"/>
          <w:sz w:val="24"/>
          <w:szCs w:val="24"/>
        </w:rPr>
        <w:t xml:space="preserve">por ciclos de estagnação e contração. Após um período de estagnação </w:t>
      </w:r>
      <w:r w:rsidR="009F66CD" w:rsidRPr="001D7099">
        <w:rPr>
          <w:rFonts w:ascii="Times New Roman" w:hAnsi="Times New Roman"/>
          <w:sz w:val="24"/>
          <w:szCs w:val="24"/>
        </w:rPr>
        <w:t xml:space="preserve">do PIB </w:t>
      </w:r>
      <w:r w:rsidRPr="001D7099">
        <w:rPr>
          <w:rFonts w:ascii="Times New Roman" w:hAnsi="Times New Roman"/>
          <w:sz w:val="24"/>
          <w:szCs w:val="24"/>
        </w:rPr>
        <w:t xml:space="preserve">no terceiro quartel do século XVIII, o último quartel é de recuo </w:t>
      </w:r>
      <w:r w:rsidR="00996A83" w:rsidRPr="001D7099">
        <w:rPr>
          <w:rFonts w:ascii="Times New Roman" w:hAnsi="Times New Roman"/>
          <w:sz w:val="24"/>
          <w:szCs w:val="24"/>
        </w:rPr>
        <w:t>significativo</w:t>
      </w:r>
      <w:r w:rsidRPr="001D7099">
        <w:rPr>
          <w:rFonts w:ascii="Times New Roman" w:hAnsi="Times New Roman"/>
          <w:sz w:val="24"/>
          <w:szCs w:val="24"/>
        </w:rPr>
        <w:t>: -1</w:t>
      </w:r>
      <w:r w:rsidR="008C650B" w:rsidRPr="001D7099">
        <w:rPr>
          <w:rFonts w:ascii="Times New Roman" w:hAnsi="Times New Roman"/>
          <w:sz w:val="24"/>
          <w:szCs w:val="24"/>
        </w:rPr>
        <w:t>7</w:t>
      </w:r>
      <w:r w:rsidRPr="001D7099">
        <w:rPr>
          <w:rFonts w:ascii="Times New Roman" w:hAnsi="Times New Roman"/>
          <w:sz w:val="24"/>
          <w:szCs w:val="24"/>
        </w:rPr>
        <w:t>% em termos de PIB e -1</w:t>
      </w:r>
      <w:r w:rsidR="008C650B" w:rsidRPr="001D7099">
        <w:rPr>
          <w:rFonts w:ascii="Times New Roman" w:hAnsi="Times New Roman"/>
          <w:sz w:val="24"/>
          <w:szCs w:val="24"/>
        </w:rPr>
        <w:t>4</w:t>
      </w:r>
      <w:r w:rsidRPr="001D7099">
        <w:rPr>
          <w:rFonts w:ascii="Times New Roman" w:hAnsi="Times New Roman"/>
          <w:sz w:val="24"/>
          <w:szCs w:val="24"/>
        </w:rPr>
        <w:t xml:space="preserve">% em termos de PAB. Dado que o crescimento demográfico acelerou nesse período, o </w:t>
      </w:r>
      <w:r w:rsidR="00E053DD">
        <w:rPr>
          <w:rFonts w:ascii="Times New Roman" w:hAnsi="Times New Roman"/>
          <w:sz w:val="24"/>
          <w:szCs w:val="24"/>
        </w:rPr>
        <w:t>recuo</w:t>
      </w:r>
      <w:r w:rsidRPr="001D7099">
        <w:rPr>
          <w:rFonts w:ascii="Times New Roman" w:hAnsi="Times New Roman"/>
          <w:sz w:val="24"/>
          <w:szCs w:val="24"/>
        </w:rPr>
        <w:t xml:space="preserve"> d</w:t>
      </w:r>
      <w:r w:rsidR="009F66CD" w:rsidRPr="001D7099">
        <w:rPr>
          <w:rFonts w:ascii="Times New Roman" w:hAnsi="Times New Roman"/>
          <w:sz w:val="24"/>
          <w:szCs w:val="24"/>
        </w:rPr>
        <w:t>o</w:t>
      </w:r>
      <w:r w:rsidRPr="001D7099">
        <w:rPr>
          <w:rFonts w:ascii="Times New Roman" w:hAnsi="Times New Roman"/>
          <w:sz w:val="24"/>
          <w:szCs w:val="24"/>
        </w:rPr>
        <w:t xml:space="preserve"> PIB pc </w:t>
      </w:r>
      <w:r w:rsidR="009F66CD" w:rsidRPr="001D7099">
        <w:rPr>
          <w:rFonts w:ascii="Times New Roman" w:hAnsi="Times New Roman"/>
          <w:sz w:val="24"/>
          <w:szCs w:val="24"/>
        </w:rPr>
        <w:t xml:space="preserve">foi </w:t>
      </w:r>
      <w:r w:rsidRPr="001D7099">
        <w:rPr>
          <w:rFonts w:ascii="Times New Roman" w:hAnsi="Times New Roman"/>
          <w:sz w:val="24"/>
          <w:szCs w:val="24"/>
        </w:rPr>
        <w:t>mais acentuado (-</w:t>
      </w:r>
      <w:r w:rsidR="008C650B" w:rsidRPr="001D7099">
        <w:rPr>
          <w:rFonts w:ascii="Times New Roman" w:hAnsi="Times New Roman"/>
          <w:sz w:val="24"/>
          <w:szCs w:val="24"/>
        </w:rPr>
        <w:t>25</w:t>
      </w:r>
      <w:r w:rsidRPr="001D7099">
        <w:rPr>
          <w:rFonts w:ascii="Times New Roman" w:hAnsi="Times New Roman"/>
          <w:sz w:val="24"/>
          <w:szCs w:val="24"/>
        </w:rPr>
        <w:t>%)</w:t>
      </w:r>
      <w:r w:rsidR="009F66CD" w:rsidRPr="001D7099">
        <w:rPr>
          <w:rFonts w:ascii="Times New Roman" w:hAnsi="Times New Roman"/>
          <w:sz w:val="24"/>
          <w:szCs w:val="24"/>
        </w:rPr>
        <w:t>.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D1442D" w:rsidRPr="001D7099">
        <w:rPr>
          <w:rFonts w:ascii="Times New Roman" w:hAnsi="Times New Roman"/>
          <w:sz w:val="24"/>
          <w:szCs w:val="24"/>
        </w:rPr>
        <w:t xml:space="preserve">No </w:t>
      </w:r>
      <w:r w:rsidRPr="001D7099">
        <w:rPr>
          <w:rFonts w:ascii="Times New Roman" w:hAnsi="Times New Roman"/>
          <w:sz w:val="24"/>
          <w:szCs w:val="24"/>
        </w:rPr>
        <w:t xml:space="preserve">início do século XIX </w:t>
      </w:r>
      <w:r w:rsidR="00D1442D" w:rsidRPr="001D7099">
        <w:rPr>
          <w:rFonts w:ascii="Times New Roman" w:hAnsi="Times New Roman"/>
          <w:sz w:val="24"/>
          <w:szCs w:val="24"/>
        </w:rPr>
        <w:t xml:space="preserve">regista-se novo </w:t>
      </w:r>
      <w:r w:rsidR="00E053DD">
        <w:rPr>
          <w:rFonts w:ascii="Times New Roman" w:hAnsi="Times New Roman"/>
          <w:sz w:val="24"/>
          <w:szCs w:val="24"/>
        </w:rPr>
        <w:t xml:space="preserve">ciclo de estagnação e de contração durante a </w:t>
      </w:r>
      <w:r w:rsidRPr="001D7099">
        <w:rPr>
          <w:rFonts w:ascii="Times New Roman" w:hAnsi="Times New Roman"/>
          <w:sz w:val="24"/>
          <w:szCs w:val="24"/>
        </w:rPr>
        <w:t>Guerra Peninsular</w:t>
      </w:r>
      <w:r w:rsidR="00E053DD">
        <w:rPr>
          <w:rFonts w:ascii="Times New Roman" w:hAnsi="Times New Roman"/>
          <w:sz w:val="24"/>
          <w:szCs w:val="24"/>
        </w:rPr>
        <w:t xml:space="preserve">. </w:t>
      </w:r>
      <w:r w:rsidR="0087320D" w:rsidRPr="001D7099">
        <w:rPr>
          <w:rFonts w:ascii="Times New Roman" w:hAnsi="Times New Roman"/>
          <w:sz w:val="24"/>
          <w:szCs w:val="24"/>
        </w:rPr>
        <w:t>Assim,</w:t>
      </w:r>
      <w:r w:rsidR="00996A83" w:rsidRPr="001D7099">
        <w:rPr>
          <w:rFonts w:ascii="Times New Roman" w:hAnsi="Times New Roman"/>
          <w:sz w:val="24"/>
          <w:szCs w:val="24"/>
        </w:rPr>
        <w:t xml:space="preserve"> </w:t>
      </w:r>
      <w:r w:rsidR="00E053DD">
        <w:rPr>
          <w:rFonts w:ascii="Times New Roman" w:hAnsi="Times New Roman"/>
          <w:sz w:val="24"/>
          <w:szCs w:val="24"/>
        </w:rPr>
        <w:t xml:space="preserve">entre </w:t>
      </w:r>
      <w:r w:rsidR="008C650B" w:rsidRPr="001D7099">
        <w:rPr>
          <w:rFonts w:ascii="Times New Roman" w:hAnsi="Times New Roman"/>
          <w:sz w:val="24"/>
          <w:szCs w:val="24"/>
        </w:rPr>
        <w:t>1800-1813, o PIB contra</w:t>
      </w:r>
      <w:r w:rsidR="00605620">
        <w:rPr>
          <w:rFonts w:ascii="Times New Roman" w:hAnsi="Times New Roman"/>
          <w:sz w:val="24"/>
          <w:szCs w:val="24"/>
        </w:rPr>
        <w:t>iu</w:t>
      </w:r>
      <w:r w:rsidR="008C650B" w:rsidRPr="001D7099">
        <w:rPr>
          <w:rFonts w:ascii="Times New Roman" w:hAnsi="Times New Roman"/>
          <w:sz w:val="24"/>
          <w:szCs w:val="24"/>
        </w:rPr>
        <w:t xml:space="preserve"> 19% e </w:t>
      </w:r>
      <w:r w:rsidR="00605620">
        <w:rPr>
          <w:rFonts w:ascii="Times New Roman" w:hAnsi="Times New Roman"/>
          <w:sz w:val="24"/>
          <w:szCs w:val="24"/>
        </w:rPr>
        <w:t xml:space="preserve">o </w:t>
      </w:r>
      <w:r w:rsidR="008C650B" w:rsidRPr="001D7099">
        <w:rPr>
          <w:rFonts w:ascii="Times New Roman" w:hAnsi="Times New Roman"/>
          <w:sz w:val="24"/>
          <w:szCs w:val="24"/>
        </w:rPr>
        <w:t xml:space="preserve">PAB 12%. </w:t>
      </w:r>
      <w:r w:rsidR="00E053DD">
        <w:rPr>
          <w:rFonts w:ascii="Times New Roman" w:hAnsi="Times New Roman"/>
          <w:sz w:val="24"/>
          <w:szCs w:val="24"/>
        </w:rPr>
        <w:t>N</w:t>
      </w:r>
      <w:r w:rsidR="009F66CD" w:rsidRPr="001D7099">
        <w:rPr>
          <w:rFonts w:ascii="Times New Roman" w:hAnsi="Times New Roman"/>
          <w:sz w:val="24"/>
          <w:szCs w:val="24"/>
        </w:rPr>
        <w:t>o conjunto do período (</w:t>
      </w:r>
      <w:r w:rsidRPr="001D7099">
        <w:rPr>
          <w:rFonts w:ascii="Times New Roman" w:hAnsi="Times New Roman"/>
          <w:sz w:val="24"/>
          <w:szCs w:val="24"/>
        </w:rPr>
        <w:t>1750-1813</w:t>
      </w:r>
      <w:r w:rsidR="009F66CD" w:rsidRPr="001D7099">
        <w:rPr>
          <w:rFonts w:ascii="Times New Roman" w:hAnsi="Times New Roman"/>
          <w:sz w:val="24"/>
          <w:szCs w:val="24"/>
        </w:rPr>
        <w:t>)</w:t>
      </w:r>
      <w:r w:rsidRPr="001D7099">
        <w:rPr>
          <w:rFonts w:ascii="Times New Roman" w:hAnsi="Times New Roman"/>
          <w:sz w:val="24"/>
          <w:szCs w:val="24"/>
        </w:rPr>
        <w:t xml:space="preserve">, o PIB recuou 1/3, e o PAB cerca de 1/4. </w:t>
      </w:r>
      <w:r w:rsidR="00301238" w:rsidRPr="001D7099">
        <w:rPr>
          <w:rFonts w:ascii="Times New Roman" w:hAnsi="Times New Roman"/>
          <w:sz w:val="24"/>
          <w:szCs w:val="24"/>
        </w:rPr>
        <w:t xml:space="preserve">Num contexto de crescimento demográfico, o reflexo </w:t>
      </w:r>
      <w:r w:rsidR="00605620">
        <w:rPr>
          <w:rFonts w:ascii="Times New Roman" w:hAnsi="Times New Roman"/>
          <w:sz w:val="24"/>
          <w:szCs w:val="24"/>
        </w:rPr>
        <w:t xml:space="preserve">da contração económica </w:t>
      </w:r>
      <w:r w:rsidR="00996A83" w:rsidRPr="001D7099">
        <w:rPr>
          <w:rFonts w:ascii="Times New Roman" w:hAnsi="Times New Roman"/>
          <w:sz w:val="24"/>
          <w:szCs w:val="24"/>
        </w:rPr>
        <w:t xml:space="preserve">a queda abrupta </w:t>
      </w:r>
      <w:r w:rsidR="00301238" w:rsidRPr="001D7099">
        <w:rPr>
          <w:rFonts w:ascii="Times New Roman" w:hAnsi="Times New Roman"/>
          <w:sz w:val="24"/>
          <w:szCs w:val="24"/>
        </w:rPr>
        <w:t xml:space="preserve">do PIB pc (-43%). </w:t>
      </w:r>
      <w:r w:rsidR="00E053DD">
        <w:rPr>
          <w:rFonts w:ascii="Times New Roman" w:hAnsi="Times New Roman"/>
          <w:sz w:val="24"/>
          <w:szCs w:val="24"/>
        </w:rPr>
        <w:t>É</w:t>
      </w:r>
      <w:r w:rsidR="00301238" w:rsidRPr="001D7099">
        <w:rPr>
          <w:rFonts w:ascii="Times New Roman" w:hAnsi="Times New Roman"/>
          <w:sz w:val="24"/>
          <w:szCs w:val="24"/>
        </w:rPr>
        <w:t xml:space="preserve"> nes</w:t>
      </w:r>
      <w:r w:rsidR="00E053DD">
        <w:rPr>
          <w:rFonts w:ascii="Times New Roman" w:hAnsi="Times New Roman"/>
          <w:sz w:val="24"/>
          <w:szCs w:val="24"/>
        </w:rPr>
        <w:t>s</w:t>
      </w:r>
      <w:r w:rsidR="00301238" w:rsidRPr="001D7099">
        <w:rPr>
          <w:rFonts w:ascii="Times New Roman" w:hAnsi="Times New Roman"/>
          <w:sz w:val="24"/>
          <w:szCs w:val="24"/>
        </w:rPr>
        <w:t>e período que o essencial da divergência económica portuguesa ocorre (</w:t>
      </w:r>
      <w:r w:rsidR="00E053DD">
        <w:rPr>
          <w:rFonts w:ascii="Times New Roman" w:hAnsi="Times New Roman"/>
          <w:sz w:val="24"/>
          <w:szCs w:val="24"/>
        </w:rPr>
        <w:t xml:space="preserve">cerca de ¾ da qual ocorre no </w:t>
      </w:r>
      <w:r w:rsidR="00301238" w:rsidRPr="001D7099">
        <w:rPr>
          <w:rFonts w:ascii="Times New Roman" w:hAnsi="Times New Roman"/>
          <w:sz w:val="24"/>
          <w:szCs w:val="24"/>
        </w:rPr>
        <w:t xml:space="preserve">último quartel dos Setecentos). Em c. 1820, o PIB pc português era já inferior ao espanhol, cerca de 70% do italiano e menos de metade do britânico. </w:t>
      </w:r>
    </w:p>
    <w:p w14:paraId="1D002588" w14:textId="7006A8F3" w:rsidR="00301238" w:rsidRPr="001D7099" w:rsidRDefault="00301238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 Estes dois períodos (1750-1800 e 1800-1813) </w:t>
      </w:r>
      <w:r w:rsidR="00064AF8" w:rsidRPr="001D7099">
        <w:rPr>
          <w:rFonts w:ascii="Times New Roman" w:hAnsi="Times New Roman"/>
          <w:sz w:val="24"/>
          <w:szCs w:val="24"/>
        </w:rPr>
        <w:t xml:space="preserve">apresentam, porém, características </w:t>
      </w:r>
      <w:r w:rsidR="00E053DD">
        <w:rPr>
          <w:rFonts w:ascii="Times New Roman" w:hAnsi="Times New Roman"/>
          <w:sz w:val="24"/>
          <w:szCs w:val="24"/>
        </w:rPr>
        <w:t>diferentes</w:t>
      </w:r>
      <w:r w:rsidR="00064AF8" w:rsidRPr="001D7099">
        <w:rPr>
          <w:rFonts w:ascii="Times New Roman" w:hAnsi="Times New Roman"/>
          <w:sz w:val="24"/>
          <w:szCs w:val="24"/>
        </w:rPr>
        <w:t>.</w:t>
      </w:r>
      <w:r w:rsidR="00180978" w:rsidRPr="001D7099">
        <w:rPr>
          <w:rFonts w:ascii="Times New Roman" w:hAnsi="Times New Roman"/>
          <w:sz w:val="24"/>
          <w:szCs w:val="24"/>
        </w:rPr>
        <w:t xml:space="preserve"> </w:t>
      </w:r>
      <w:r w:rsidR="00064AF8" w:rsidRPr="001D7099">
        <w:rPr>
          <w:rFonts w:ascii="Times New Roman" w:hAnsi="Times New Roman"/>
          <w:sz w:val="24"/>
          <w:szCs w:val="24"/>
        </w:rPr>
        <w:t>Entre 1750-1800, a distribuição ocupacional da população mant</w:t>
      </w:r>
      <w:r w:rsidR="001503D3" w:rsidRPr="001D7099">
        <w:rPr>
          <w:rFonts w:ascii="Times New Roman" w:hAnsi="Times New Roman"/>
          <w:sz w:val="24"/>
          <w:szCs w:val="24"/>
        </w:rPr>
        <w:t>eve</w:t>
      </w:r>
      <w:r w:rsidR="00064AF8" w:rsidRPr="001D7099">
        <w:rPr>
          <w:rFonts w:ascii="Times New Roman" w:hAnsi="Times New Roman"/>
          <w:sz w:val="24"/>
          <w:szCs w:val="24"/>
        </w:rPr>
        <w:t>-se, praticamente, inalterada</w:t>
      </w:r>
      <w:r w:rsidR="00B6668A" w:rsidRPr="001D7099">
        <w:rPr>
          <w:rFonts w:ascii="Times New Roman" w:hAnsi="Times New Roman"/>
          <w:sz w:val="24"/>
          <w:szCs w:val="24"/>
        </w:rPr>
        <w:t xml:space="preserve">, embora </w:t>
      </w:r>
      <w:r w:rsidR="00E053DD">
        <w:rPr>
          <w:rFonts w:ascii="Times New Roman" w:hAnsi="Times New Roman"/>
          <w:sz w:val="24"/>
          <w:szCs w:val="24"/>
        </w:rPr>
        <w:t>tenha ocorrido uma ligeira desurbanização.</w:t>
      </w:r>
      <w:r w:rsidR="00064AF8" w:rsidRPr="001D7099">
        <w:rPr>
          <w:rFonts w:ascii="Times New Roman" w:hAnsi="Times New Roman"/>
          <w:sz w:val="24"/>
          <w:szCs w:val="24"/>
        </w:rPr>
        <w:t xml:space="preserve"> </w:t>
      </w:r>
      <w:r w:rsidR="00D509D1">
        <w:rPr>
          <w:rFonts w:ascii="Times New Roman" w:hAnsi="Times New Roman"/>
          <w:sz w:val="24"/>
          <w:szCs w:val="24"/>
        </w:rPr>
        <w:t xml:space="preserve">A partir do </w:t>
      </w:r>
      <w:r w:rsidR="00E053DD">
        <w:rPr>
          <w:rFonts w:ascii="Times New Roman" w:hAnsi="Times New Roman"/>
          <w:sz w:val="24"/>
          <w:szCs w:val="24"/>
        </w:rPr>
        <w:t xml:space="preserve">início do </w:t>
      </w:r>
      <w:r w:rsidR="00180978" w:rsidRPr="001D7099">
        <w:rPr>
          <w:rFonts w:ascii="Times New Roman" w:hAnsi="Times New Roman"/>
          <w:sz w:val="24"/>
          <w:szCs w:val="24"/>
        </w:rPr>
        <w:t>século XIX</w:t>
      </w:r>
      <w:r w:rsidR="00D509D1">
        <w:rPr>
          <w:rFonts w:ascii="Times New Roman" w:hAnsi="Times New Roman"/>
          <w:sz w:val="24"/>
          <w:szCs w:val="24"/>
        </w:rPr>
        <w:t>,</w:t>
      </w:r>
      <w:r w:rsidR="00180978" w:rsidRPr="001D7099">
        <w:rPr>
          <w:rFonts w:ascii="Times New Roman" w:hAnsi="Times New Roman"/>
          <w:sz w:val="24"/>
          <w:szCs w:val="24"/>
        </w:rPr>
        <w:t xml:space="preserve"> </w:t>
      </w:r>
      <w:r w:rsidR="00D509D1">
        <w:rPr>
          <w:rFonts w:ascii="Times New Roman" w:hAnsi="Times New Roman"/>
          <w:sz w:val="24"/>
          <w:szCs w:val="24"/>
        </w:rPr>
        <w:t xml:space="preserve">a dinâmica da estrutura ocupacional inverte-se: inicia-se um </w:t>
      </w:r>
      <w:r w:rsidR="00E053DD">
        <w:rPr>
          <w:rFonts w:ascii="Times New Roman" w:hAnsi="Times New Roman"/>
          <w:sz w:val="24"/>
          <w:szCs w:val="24"/>
        </w:rPr>
        <w:t xml:space="preserve">declínio </w:t>
      </w:r>
      <w:r w:rsidR="00D509D1">
        <w:rPr>
          <w:rFonts w:ascii="Times New Roman" w:hAnsi="Times New Roman"/>
          <w:sz w:val="24"/>
          <w:szCs w:val="24"/>
        </w:rPr>
        <w:t xml:space="preserve">acentuado </w:t>
      </w:r>
      <w:r w:rsidR="00E053DD">
        <w:rPr>
          <w:rFonts w:ascii="Times New Roman" w:hAnsi="Times New Roman"/>
          <w:sz w:val="24"/>
          <w:szCs w:val="24"/>
        </w:rPr>
        <w:t>da</w:t>
      </w:r>
      <w:r w:rsidR="00180978" w:rsidRPr="001D7099">
        <w:rPr>
          <w:rFonts w:ascii="Times New Roman" w:hAnsi="Times New Roman"/>
          <w:sz w:val="24"/>
          <w:szCs w:val="24"/>
        </w:rPr>
        <w:t xml:space="preserve"> </w:t>
      </w:r>
      <w:r w:rsidR="00180978" w:rsidRPr="001D7099">
        <w:rPr>
          <w:rFonts w:ascii="Times New Roman" w:hAnsi="Times New Roman"/>
          <w:sz w:val="24"/>
          <w:szCs w:val="24"/>
        </w:rPr>
        <w:lastRenderedPageBreak/>
        <w:t xml:space="preserve">categoria </w:t>
      </w:r>
      <w:r w:rsidR="009F66CD" w:rsidRPr="001D7099">
        <w:rPr>
          <w:rFonts w:ascii="Times New Roman" w:hAnsi="Times New Roman"/>
          <w:sz w:val="24"/>
          <w:szCs w:val="24"/>
        </w:rPr>
        <w:t>RNAG</w:t>
      </w:r>
      <w:r w:rsidR="00E053DD">
        <w:rPr>
          <w:rFonts w:ascii="Times New Roman" w:hAnsi="Times New Roman"/>
          <w:sz w:val="24"/>
          <w:szCs w:val="24"/>
        </w:rPr>
        <w:t xml:space="preserve"> – passa de </w:t>
      </w:r>
      <w:r w:rsidR="00180978" w:rsidRPr="001D7099">
        <w:rPr>
          <w:rFonts w:ascii="Times New Roman" w:hAnsi="Times New Roman"/>
          <w:sz w:val="24"/>
          <w:szCs w:val="24"/>
        </w:rPr>
        <w:t>2</w:t>
      </w:r>
      <w:r w:rsidR="001503D3" w:rsidRPr="001D7099">
        <w:rPr>
          <w:rFonts w:ascii="Times New Roman" w:hAnsi="Times New Roman"/>
          <w:sz w:val="24"/>
          <w:szCs w:val="24"/>
        </w:rPr>
        <w:t>9</w:t>
      </w:r>
      <w:r w:rsidR="00180978" w:rsidRPr="001D7099">
        <w:rPr>
          <w:rFonts w:ascii="Times New Roman" w:hAnsi="Times New Roman"/>
          <w:sz w:val="24"/>
          <w:szCs w:val="24"/>
        </w:rPr>
        <w:t>% para 2</w:t>
      </w:r>
      <w:r w:rsidR="001503D3" w:rsidRPr="001D7099">
        <w:rPr>
          <w:rFonts w:ascii="Times New Roman" w:hAnsi="Times New Roman"/>
          <w:sz w:val="24"/>
          <w:szCs w:val="24"/>
        </w:rPr>
        <w:t>5</w:t>
      </w:r>
      <w:r w:rsidR="00180978" w:rsidRPr="001D7099">
        <w:rPr>
          <w:rFonts w:ascii="Times New Roman" w:hAnsi="Times New Roman"/>
          <w:sz w:val="24"/>
          <w:szCs w:val="24"/>
        </w:rPr>
        <w:t xml:space="preserve">% </w:t>
      </w:r>
      <w:r w:rsidR="00D509D1">
        <w:rPr>
          <w:rFonts w:ascii="Times New Roman" w:hAnsi="Times New Roman"/>
          <w:sz w:val="24"/>
          <w:szCs w:val="24"/>
        </w:rPr>
        <w:t xml:space="preserve">entre 1800-1813 – e um aumento significativo da categoria </w:t>
      </w:r>
      <w:r w:rsidR="00C81E24">
        <w:rPr>
          <w:rFonts w:ascii="Times New Roman" w:hAnsi="Times New Roman"/>
          <w:sz w:val="24"/>
          <w:szCs w:val="24"/>
        </w:rPr>
        <w:t xml:space="preserve">Agrícola. Dado que o período também assiste a uma </w:t>
      </w:r>
      <w:r w:rsidR="00180978" w:rsidRPr="001D7099">
        <w:rPr>
          <w:rFonts w:ascii="Times New Roman" w:hAnsi="Times New Roman"/>
          <w:sz w:val="24"/>
          <w:szCs w:val="24"/>
        </w:rPr>
        <w:t xml:space="preserve">contração </w:t>
      </w:r>
      <w:r w:rsidR="00C81E24">
        <w:rPr>
          <w:rFonts w:ascii="Times New Roman" w:hAnsi="Times New Roman"/>
          <w:sz w:val="24"/>
          <w:szCs w:val="24"/>
        </w:rPr>
        <w:t xml:space="preserve">substancial </w:t>
      </w:r>
      <w:r w:rsidR="00180978" w:rsidRPr="001D7099">
        <w:rPr>
          <w:rFonts w:ascii="Times New Roman" w:hAnsi="Times New Roman"/>
          <w:sz w:val="24"/>
          <w:szCs w:val="24"/>
        </w:rPr>
        <w:t>do PAB, a P</w:t>
      </w:r>
      <w:r w:rsidR="00180978" w:rsidRPr="001D7099">
        <w:rPr>
          <w:rFonts w:ascii="Times New Roman" w:hAnsi="Times New Roman"/>
          <w:sz w:val="24"/>
          <w:szCs w:val="24"/>
          <w:vertAlign w:val="superscript"/>
        </w:rPr>
        <w:t>*</w:t>
      </w:r>
      <w:r w:rsidR="00180978" w:rsidRPr="001D7099">
        <w:rPr>
          <w:rFonts w:ascii="Times New Roman" w:hAnsi="Times New Roman"/>
          <w:sz w:val="24"/>
          <w:szCs w:val="24"/>
          <w:vertAlign w:val="subscript"/>
        </w:rPr>
        <w:t xml:space="preserve">ag </w:t>
      </w:r>
      <w:r w:rsidR="00180978" w:rsidRPr="001D7099">
        <w:rPr>
          <w:rFonts w:ascii="Times New Roman" w:hAnsi="Times New Roman"/>
          <w:sz w:val="24"/>
          <w:szCs w:val="24"/>
        </w:rPr>
        <w:t>declina significativamente entre 1750-1813 (-43%). É</w:t>
      </w:r>
      <w:r w:rsidR="000D38C4" w:rsidRPr="001D7099">
        <w:rPr>
          <w:rFonts w:ascii="Times New Roman" w:hAnsi="Times New Roman"/>
          <w:sz w:val="24"/>
          <w:szCs w:val="24"/>
        </w:rPr>
        <w:t xml:space="preserve"> expectável que esta alteração da estrutura ocupacional te</w:t>
      </w:r>
      <w:r w:rsidR="00180978" w:rsidRPr="001D7099">
        <w:rPr>
          <w:rFonts w:ascii="Times New Roman" w:hAnsi="Times New Roman"/>
          <w:sz w:val="24"/>
          <w:szCs w:val="24"/>
        </w:rPr>
        <w:t>nha</w:t>
      </w:r>
      <w:r w:rsidR="000D38C4" w:rsidRPr="001D7099">
        <w:rPr>
          <w:rFonts w:ascii="Times New Roman" w:hAnsi="Times New Roman"/>
          <w:sz w:val="24"/>
          <w:szCs w:val="24"/>
        </w:rPr>
        <w:t xml:space="preserve"> tido um impacto negativo </w:t>
      </w:r>
      <w:r w:rsidR="00DE3552">
        <w:rPr>
          <w:rFonts w:ascii="Times New Roman" w:hAnsi="Times New Roman"/>
          <w:sz w:val="24"/>
          <w:szCs w:val="24"/>
        </w:rPr>
        <w:t>n</w:t>
      </w:r>
      <w:r w:rsidR="00C81E24">
        <w:rPr>
          <w:rFonts w:ascii="Times New Roman" w:hAnsi="Times New Roman"/>
          <w:sz w:val="24"/>
          <w:szCs w:val="24"/>
        </w:rPr>
        <w:t xml:space="preserve">a </w:t>
      </w:r>
      <w:r w:rsidR="000D38C4" w:rsidRPr="001D7099">
        <w:rPr>
          <w:rFonts w:ascii="Times New Roman" w:hAnsi="Times New Roman"/>
          <w:sz w:val="24"/>
          <w:szCs w:val="24"/>
        </w:rPr>
        <w:t xml:space="preserve">formação do ISR. </w:t>
      </w:r>
    </w:p>
    <w:p w14:paraId="30F44680" w14:textId="6B4A90BA" w:rsidR="00C81E24" w:rsidRDefault="00064AF8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Entre o fim da Guerra Peninsular e 1850, </w:t>
      </w:r>
      <w:r w:rsidR="001503D3" w:rsidRPr="001D7099">
        <w:rPr>
          <w:rFonts w:ascii="Times New Roman" w:hAnsi="Times New Roman"/>
          <w:sz w:val="24"/>
          <w:szCs w:val="24"/>
        </w:rPr>
        <w:t>ocorre</w:t>
      </w:r>
      <w:r w:rsidRPr="001D7099">
        <w:rPr>
          <w:rFonts w:ascii="Times New Roman" w:hAnsi="Times New Roman"/>
          <w:sz w:val="24"/>
          <w:szCs w:val="24"/>
        </w:rPr>
        <w:t xml:space="preserve"> uma retoma económica que permitiu anular, em termos de PIB pc, a penalidade económica da </w:t>
      </w:r>
      <w:r w:rsidR="00C81E24">
        <w:rPr>
          <w:rFonts w:ascii="Times New Roman" w:hAnsi="Times New Roman"/>
          <w:sz w:val="24"/>
          <w:szCs w:val="24"/>
        </w:rPr>
        <w:t>g</w:t>
      </w:r>
      <w:r w:rsidRPr="001D7099">
        <w:rPr>
          <w:rFonts w:ascii="Times New Roman" w:hAnsi="Times New Roman"/>
          <w:sz w:val="24"/>
          <w:szCs w:val="24"/>
        </w:rPr>
        <w:t xml:space="preserve">uerra e, aproximar-se, mas não ultrapassar, </w:t>
      </w:r>
      <w:r w:rsidR="00D1442D" w:rsidRPr="001D7099">
        <w:rPr>
          <w:rFonts w:ascii="Times New Roman" w:hAnsi="Times New Roman"/>
          <w:sz w:val="24"/>
          <w:szCs w:val="24"/>
        </w:rPr>
        <w:t>d</w:t>
      </w:r>
      <w:r w:rsidRPr="001D7099">
        <w:rPr>
          <w:rFonts w:ascii="Times New Roman" w:hAnsi="Times New Roman"/>
          <w:sz w:val="24"/>
          <w:szCs w:val="24"/>
        </w:rPr>
        <w:t xml:space="preserve">os valores </w:t>
      </w:r>
      <w:r w:rsidR="00180978" w:rsidRPr="001D7099">
        <w:rPr>
          <w:rFonts w:ascii="Times New Roman" w:hAnsi="Times New Roman"/>
          <w:sz w:val="24"/>
          <w:szCs w:val="24"/>
        </w:rPr>
        <w:t xml:space="preserve">de PIB </w:t>
      </w:r>
      <w:r w:rsidRPr="001D7099">
        <w:rPr>
          <w:rFonts w:ascii="Times New Roman" w:hAnsi="Times New Roman"/>
          <w:sz w:val="24"/>
          <w:szCs w:val="24"/>
        </w:rPr>
        <w:t xml:space="preserve">pré-recessão do último quartel dos Setecentos. De facto, Portugal apenas voltaria a </w:t>
      </w:r>
      <w:r w:rsidR="001503D3" w:rsidRPr="001D7099">
        <w:rPr>
          <w:rFonts w:ascii="Times New Roman" w:hAnsi="Times New Roman"/>
          <w:sz w:val="24"/>
          <w:szCs w:val="24"/>
        </w:rPr>
        <w:t>atingir</w:t>
      </w:r>
      <w:r w:rsidRPr="001D7099">
        <w:rPr>
          <w:rFonts w:ascii="Times New Roman" w:hAnsi="Times New Roman"/>
          <w:sz w:val="24"/>
          <w:szCs w:val="24"/>
        </w:rPr>
        <w:t xml:space="preserve"> os níveis de PIB pré-crise</w:t>
      </w:r>
      <w:r w:rsidR="00C81E24"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 xml:space="preserve">no final da década de 1870, </w:t>
      </w:r>
      <w:r w:rsidR="00C81E24">
        <w:rPr>
          <w:rFonts w:ascii="Times New Roman" w:hAnsi="Times New Roman"/>
          <w:sz w:val="24"/>
          <w:szCs w:val="24"/>
        </w:rPr>
        <w:t xml:space="preserve">tendo a população, entretanto, </w:t>
      </w:r>
      <w:r w:rsidR="006F7A79" w:rsidRPr="001D7099">
        <w:rPr>
          <w:rFonts w:ascii="Times New Roman" w:hAnsi="Times New Roman"/>
          <w:sz w:val="24"/>
          <w:szCs w:val="24"/>
        </w:rPr>
        <w:t xml:space="preserve">aumentado </w:t>
      </w:r>
      <w:r w:rsidRPr="001D7099">
        <w:rPr>
          <w:rFonts w:ascii="Times New Roman" w:hAnsi="Times New Roman"/>
          <w:sz w:val="24"/>
          <w:szCs w:val="24"/>
        </w:rPr>
        <w:t>cerca de 1,5 milhões de habitantes</w:t>
      </w:r>
      <w:r w:rsidRPr="001D7099">
        <w:rPr>
          <w:rStyle w:val="FootnoteReference"/>
          <w:rFonts w:ascii="Times New Roman" w:hAnsi="Times New Roman"/>
          <w:sz w:val="24"/>
          <w:szCs w:val="24"/>
        </w:rPr>
        <w:footnoteReference w:id="11"/>
      </w:r>
      <w:r w:rsidRPr="001D7099">
        <w:rPr>
          <w:rFonts w:ascii="Times New Roman" w:hAnsi="Times New Roman"/>
          <w:sz w:val="24"/>
          <w:szCs w:val="24"/>
        </w:rPr>
        <w:t>. Pelo contrário, o crescimento do PAB (+6</w:t>
      </w:r>
      <w:r w:rsidR="00180978" w:rsidRPr="001D7099">
        <w:rPr>
          <w:rFonts w:ascii="Times New Roman" w:hAnsi="Times New Roman"/>
          <w:sz w:val="24"/>
          <w:szCs w:val="24"/>
        </w:rPr>
        <w:t>1</w:t>
      </w:r>
      <w:r w:rsidRPr="001D7099">
        <w:rPr>
          <w:rFonts w:ascii="Times New Roman" w:hAnsi="Times New Roman"/>
          <w:sz w:val="24"/>
          <w:szCs w:val="24"/>
        </w:rPr>
        <w:t xml:space="preserve">%) permitiu, não só alcançar os níveis máximos de produção </w:t>
      </w:r>
      <w:r w:rsidR="00D1442D" w:rsidRPr="001D7099">
        <w:rPr>
          <w:rFonts w:ascii="Times New Roman" w:hAnsi="Times New Roman"/>
          <w:sz w:val="24"/>
          <w:szCs w:val="24"/>
        </w:rPr>
        <w:t xml:space="preserve">do século XVIII, </w:t>
      </w:r>
      <w:r w:rsidRPr="001D7099">
        <w:rPr>
          <w:rFonts w:ascii="Times New Roman" w:hAnsi="Times New Roman"/>
          <w:sz w:val="24"/>
          <w:szCs w:val="24"/>
        </w:rPr>
        <w:t xml:space="preserve">como elevá-los em 20% em c. 1840. </w:t>
      </w:r>
      <w:r w:rsidR="003C1C81" w:rsidRPr="001D7099">
        <w:rPr>
          <w:rFonts w:ascii="Times New Roman" w:hAnsi="Times New Roman"/>
          <w:sz w:val="24"/>
          <w:szCs w:val="24"/>
        </w:rPr>
        <w:t xml:space="preserve">Esta trajetória do PAB traduziu-se no crescimento do peso da agricultura no PIB – o rácio PAB/PIB aumentou de 38% em 1750 para 47% em 1850. </w:t>
      </w:r>
      <w:r w:rsidR="00CA795A" w:rsidRPr="001D7099">
        <w:rPr>
          <w:rFonts w:ascii="Times New Roman" w:hAnsi="Times New Roman"/>
          <w:sz w:val="24"/>
          <w:szCs w:val="24"/>
        </w:rPr>
        <w:t xml:space="preserve">Por outro lado, </w:t>
      </w:r>
      <w:r w:rsidR="00C81E24">
        <w:rPr>
          <w:rFonts w:ascii="Times New Roman" w:hAnsi="Times New Roman"/>
          <w:sz w:val="24"/>
          <w:szCs w:val="24"/>
        </w:rPr>
        <w:t xml:space="preserve">o </w:t>
      </w:r>
      <w:r w:rsidR="00CA795A" w:rsidRPr="001D7099">
        <w:rPr>
          <w:rFonts w:ascii="Times New Roman" w:hAnsi="Times New Roman"/>
          <w:sz w:val="24"/>
          <w:szCs w:val="24"/>
        </w:rPr>
        <w:t xml:space="preserve">crescimento do PAB </w:t>
      </w:r>
      <w:r w:rsidR="00C81E24">
        <w:rPr>
          <w:rFonts w:ascii="Times New Roman" w:hAnsi="Times New Roman"/>
          <w:sz w:val="24"/>
          <w:szCs w:val="24"/>
        </w:rPr>
        <w:t xml:space="preserve">também permitiu elevar </w:t>
      </w:r>
      <w:r w:rsidR="00CA795A" w:rsidRPr="001D7099">
        <w:rPr>
          <w:rFonts w:ascii="Times New Roman" w:hAnsi="Times New Roman"/>
          <w:sz w:val="24"/>
          <w:szCs w:val="24"/>
        </w:rPr>
        <w:t>a P</w:t>
      </w:r>
      <w:r w:rsidR="00CA795A" w:rsidRPr="001D7099">
        <w:rPr>
          <w:rFonts w:ascii="Times New Roman" w:hAnsi="Times New Roman"/>
          <w:sz w:val="24"/>
          <w:szCs w:val="24"/>
          <w:vertAlign w:val="superscript"/>
        </w:rPr>
        <w:t>*</w:t>
      </w:r>
      <w:r w:rsidR="00CA795A" w:rsidRPr="001D7099">
        <w:rPr>
          <w:rFonts w:ascii="Times New Roman" w:hAnsi="Times New Roman"/>
          <w:sz w:val="24"/>
          <w:szCs w:val="24"/>
          <w:vertAlign w:val="subscript"/>
        </w:rPr>
        <w:t xml:space="preserve">ag </w:t>
      </w:r>
      <w:r w:rsidR="00CA795A" w:rsidRPr="001D7099">
        <w:rPr>
          <w:rFonts w:ascii="Times New Roman" w:hAnsi="Times New Roman"/>
          <w:sz w:val="24"/>
          <w:szCs w:val="24"/>
        </w:rPr>
        <w:t>(+22%) entre 1813-1850</w:t>
      </w:r>
      <w:r w:rsidR="00C81E24">
        <w:rPr>
          <w:rFonts w:ascii="Times New Roman" w:hAnsi="Times New Roman"/>
          <w:sz w:val="24"/>
          <w:szCs w:val="24"/>
        </w:rPr>
        <w:t xml:space="preserve">. Contudo, dado </w:t>
      </w:r>
      <w:r w:rsidR="00DE3552">
        <w:rPr>
          <w:rFonts w:ascii="Times New Roman" w:hAnsi="Times New Roman"/>
          <w:sz w:val="24"/>
          <w:szCs w:val="24"/>
        </w:rPr>
        <w:t xml:space="preserve">que a </w:t>
      </w:r>
      <w:r w:rsidR="00C81E24" w:rsidRPr="001D7099">
        <w:rPr>
          <w:rFonts w:ascii="Times New Roman" w:hAnsi="Times New Roman"/>
          <w:sz w:val="24"/>
          <w:szCs w:val="24"/>
        </w:rPr>
        <w:t xml:space="preserve">fração da população agrícola </w:t>
      </w:r>
      <w:r w:rsidR="00DE3552">
        <w:rPr>
          <w:rFonts w:ascii="Times New Roman" w:hAnsi="Times New Roman"/>
          <w:sz w:val="24"/>
          <w:szCs w:val="24"/>
        </w:rPr>
        <w:t xml:space="preserve">aumentou </w:t>
      </w:r>
      <w:r w:rsidR="00C81E24" w:rsidRPr="001D7099">
        <w:rPr>
          <w:rFonts w:ascii="Times New Roman" w:hAnsi="Times New Roman"/>
          <w:sz w:val="24"/>
          <w:szCs w:val="24"/>
        </w:rPr>
        <w:t>de 60% para 67%</w:t>
      </w:r>
      <w:r w:rsidR="00C81E24">
        <w:rPr>
          <w:rFonts w:ascii="Times New Roman" w:hAnsi="Times New Roman"/>
          <w:sz w:val="24"/>
          <w:szCs w:val="24"/>
        </w:rPr>
        <w:t xml:space="preserve"> (num contexto de crescimento demográfico), a produtividade do trabalho no final da cronologia </w:t>
      </w:r>
      <w:r w:rsidR="00C81E24" w:rsidRPr="001D7099">
        <w:rPr>
          <w:rFonts w:ascii="Times New Roman" w:hAnsi="Times New Roman"/>
          <w:sz w:val="24"/>
          <w:szCs w:val="24"/>
        </w:rPr>
        <w:t xml:space="preserve"> </w:t>
      </w:r>
      <w:r w:rsidR="00C81E24">
        <w:rPr>
          <w:rFonts w:ascii="Times New Roman" w:hAnsi="Times New Roman"/>
          <w:sz w:val="24"/>
          <w:szCs w:val="24"/>
        </w:rPr>
        <w:t xml:space="preserve">mantinha-se </w:t>
      </w:r>
      <w:r w:rsidR="001503D3" w:rsidRPr="001D7099">
        <w:rPr>
          <w:rFonts w:ascii="Times New Roman" w:hAnsi="Times New Roman"/>
          <w:sz w:val="24"/>
          <w:szCs w:val="24"/>
        </w:rPr>
        <w:t>cerca de</w:t>
      </w:r>
      <w:r w:rsidR="00CA795A" w:rsidRPr="001D7099">
        <w:rPr>
          <w:rFonts w:ascii="Times New Roman" w:hAnsi="Times New Roman"/>
          <w:sz w:val="24"/>
          <w:szCs w:val="24"/>
        </w:rPr>
        <w:t xml:space="preserve"> 30% inferior </w:t>
      </w:r>
      <w:r w:rsidR="00C81E24">
        <w:rPr>
          <w:rFonts w:ascii="Times New Roman" w:hAnsi="Times New Roman"/>
          <w:sz w:val="24"/>
          <w:szCs w:val="24"/>
        </w:rPr>
        <w:t>ao nível máximo registado em c. 1750</w:t>
      </w:r>
      <w:r w:rsidR="00CA795A" w:rsidRPr="001D7099">
        <w:rPr>
          <w:rFonts w:ascii="Times New Roman" w:hAnsi="Times New Roman"/>
          <w:sz w:val="24"/>
          <w:szCs w:val="24"/>
        </w:rPr>
        <w:t xml:space="preserve">. </w:t>
      </w:r>
    </w:p>
    <w:p w14:paraId="15ACC587" w14:textId="0D613E43" w:rsidR="00064AF8" w:rsidRPr="001D7099" w:rsidRDefault="003C1C81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9A3EEE">
        <w:rPr>
          <w:rFonts w:ascii="Times New Roman" w:hAnsi="Times New Roman"/>
          <w:sz w:val="24"/>
          <w:szCs w:val="24"/>
        </w:rPr>
        <w:t xml:space="preserve">Esta </w:t>
      </w:r>
      <w:r w:rsidR="009F17D5" w:rsidRPr="009A3EEE">
        <w:rPr>
          <w:rFonts w:ascii="Times New Roman" w:hAnsi="Times New Roman"/>
          <w:sz w:val="24"/>
          <w:szCs w:val="24"/>
        </w:rPr>
        <w:t xml:space="preserve">recomposição </w:t>
      </w:r>
      <w:r w:rsidRPr="009A3EEE">
        <w:rPr>
          <w:rFonts w:ascii="Times New Roman" w:hAnsi="Times New Roman"/>
          <w:sz w:val="24"/>
          <w:szCs w:val="24"/>
        </w:rPr>
        <w:t xml:space="preserve">da estrutura ocupacional a favor da agricultura </w:t>
      </w:r>
      <w:r w:rsidR="00064AF8" w:rsidRPr="009A3EEE">
        <w:rPr>
          <w:rFonts w:ascii="Times New Roman" w:hAnsi="Times New Roman"/>
          <w:sz w:val="24"/>
          <w:szCs w:val="24"/>
        </w:rPr>
        <w:t xml:space="preserve">não se </w:t>
      </w:r>
      <w:r w:rsidR="00C81E24" w:rsidRPr="009A3EEE">
        <w:rPr>
          <w:rFonts w:ascii="Times New Roman" w:hAnsi="Times New Roman"/>
          <w:sz w:val="24"/>
          <w:szCs w:val="24"/>
        </w:rPr>
        <w:t>traduziu</w:t>
      </w:r>
      <w:r w:rsidR="00064AF8" w:rsidRPr="009A3EEE">
        <w:rPr>
          <w:rFonts w:ascii="Times New Roman" w:hAnsi="Times New Roman"/>
          <w:sz w:val="24"/>
          <w:szCs w:val="24"/>
        </w:rPr>
        <w:t>, porém,</w:t>
      </w:r>
      <w:r w:rsidR="00064AF8" w:rsidRPr="001D7099">
        <w:rPr>
          <w:rFonts w:ascii="Times New Roman" w:hAnsi="Times New Roman"/>
          <w:sz w:val="24"/>
          <w:szCs w:val="24"/>
        </w:rPr>
        <w:t xml:space="preserve"> </w:t>
      </w:r>
      <w:r w:rsidR="00C81E24">
        <w:rPr>
          <w:rFonts w:ascii="Times New Roman" w:hAnsi="Times New Roman"/>
          <w:sz w:val="24"/>
          <w:szCs w:val="24"/>
        </w:rPr>
        <w:t>n</w:t>
      </w:r>
      <w:r w:rsidR="00064AF8" w:rsidRPr="001D7099">
        <w:rPr>
          <w:rFonts w:ascii="Times New Roman" w:hAnsi="Times New Roman"/>
          <w:sz w:val="24"/>
          <w:szCs w:val="24"/>
        </w:rPr>
        <w:t xml:space="preserve">a redução da </w:t>
      </w:r>
      <w:r w:rsidR="009F17D5" w:rsidRPr="001D7099">
        <w:rPr>
          <w:rFonts w:ascii="Times New Roman" w:hAnsi="Times New Roman"/>
          <w:sz w:val="24"/>
          <w:szCs w:val="24"/>
        </w:rPr>
        <w:t>urbanização</w:t>
      </w:r>
      <w:r w:rsidR="00180978" w:rsidRPr="001D7099">
        <w:rPr>
          <w:rFonts w:ascii="Times New Roman" w:hAnsi="Times New Roman"/>
          <w:sz w:val="24"/>
          <w:szCs w:val="24"/>
        </w:rPr>
        <w:t>,</w:t>
      </w:r>
      <w:r w:rsidR="009F17D5" w:rsidRPr="001D7099">
        <w:rPr>
          <w:rFonts w:ascii="Times New Roman" w:hAnsi="Times New Roman"/>
          <w:sz w:val="24"/>
          <w:szCs w:val="24"/>
        </w:rPr>
        <w:t xml:space="preserve"> que </w:t>
      </w:r>
      <w:r w:rsidR="009A3EEE">
        <w:rPr>
          <w:rFonts w:ascii="Times New Roman" w:hAnsi="Times New Roman"/>
          <w:sz w:val="24"/>
          <w:szCs w:val="24"/>
        </w:rPr>
        <w:t xml:space="preserve">progrediu </w:t>
      </w:r>
      <w:r w:rsidR="002E3EF5" w:rsidRPr="001D7099">
        <w:rPr>
          <w:rFonts w:ascii="Times New Roman" w:hAnsi="Times New Roman"/>
          <w:sz w:val="24"/>
          <w:szCs w:val="24"/>
        </w:rPr>
        <w:t>de 1</w:t>
      </w:r>
      <w:r w:rsidRPr="001D7099">
        <w:rPr>
          <w:rFonts w:ascii="Times New Roman" w:hAnsi="Times New Roman"/>
          <w:sz w:val="24"/>
          <w:szCs w:val="24"/>
        </w:rPr>
        <w:t>6</w:t>
      </w:r>
      <w:r w:rsidR="002E3EF5" w:rsidRPr="001D7099">
        <w:rPr>
          <w:rFonts w:ascii="Times New Roman" w:hAnsi="Times New Roman"/>
          <w:sz w:val="24"/>
          <w:szCs w:val="24"/>
        </w:rPr>
        <w:t xml:space="preserve">% </w:t>
      </w:r>
      <w:r w:rsidR="009F17D5" w:rsidRPr="001D7099">
        <w:rPr>
          <w:rFonts w:ascii="Times New Roman" w:hAnsi="Times New Roman"/>
          <w:sz w:val="24"/>
          <w:szCs w:val="24"/>
        </w:rPr>
        <w:t xml:space="preserve">para </w:t>
      </w:r>
      <w:r w:rsidR="002E3EF5" w:rsidRPr="001D7099">
        <w:rPr>
          <w:rFonts w:ascii="Times New Roman" w:hAnsi="Times New Roman"/>
          <w:sz w:val="24"/>
          <w:szCs w:val="24"/>
        </w:rPr>
        <w:t>1</w:t>
      </w:r>
      <w:r w:rsidRPr="001D7099">
        <w:rPr>
          <w:rFonts w:ascii="Times New Roman" w:hAnsi="Times New Roman"/>
          <w:sz w:val="24"/>
          <w:szCs w:val="24"/>
        </w:rPr>
        <w:t>8</w:t>
      </w:r>
      <w:r w:rsidR="009F17D5" w:rsidRPr="001D7099">
        <w:rPr>
          <w:rFonts w:ascii="Times New Roman" w:hAnsi="Times New Roman"/>
          <w:sz w:val="24"/>
          <w:szCs w:val="24"/>
        </w:rPr>
        <w:t>%</w:t>
      </w:r>
      <w:r w:rsidR="00C81E24">
        <w:rPr>
          <w:rFonts w:ascii="Times New Roman" w:hAnsi="Times New Roman"/>
          <w:sz w:val="24"/>
          <w:szCs w:val="24"/>
        </w:rPr>
        <w:t xml:space="preserve">. Resultou, sobretudo, do declínio da </w:t>
      </w:r>
      <w:r w:rsidR="00064AF8" w:rsidRPr="001D7099">
        <w:rPr>
          <w:rFonts w:ascii="Times New Roman" w:hAnsi="Times New Roman"/>
          <w:sz w:val="24"/>
          <w:szCs w:val="24"/>
        </w:rPr>
        <w:t>categoria RNAG</w:t>
      </w:r>
      <w:r w:rsidR="00C81E24">
        <w:rPr>
          <w:rFonts w:ascii="Times New Roman" w:hAnsi="Times New Roman"/>
          <w:sz w:val="24"/>
          <w:szCs w:val="24"/>
        </w:rPr>
        <w:t xml:space="preserve">, mantendo </w:t>
      </w:r>
      <w:r w:rsidRPr="001D7099">
        <w:rPr>
          <w:rFonts w:ascii="Times New Roman" w:hAnsi="Times New Roman"/>
          <w:sz w:val="24"/>
          <w:szCs w:val="24"/>
        </w:rPr>
        <w:t>a tendência iniciada no início do século XIX</w:t>
      </w:r>
      <w:r w:rsidR="009F66CD" w:rsidRPr="001D7099">
        <w:rPr>
          <w:rFonts w:ascii="Times New Roman" w:hAnsi="Times New Roman"/>
          <w:sz w:val="24"/>
          <w:szCs w:val="24"/>
        </w:rPr>
        <w:t>:</w:t>
      </w:r>
      <w:r w:rsidR="00180978" w:rsidRPr="001D7099">
        <w:rPr>
          <w:rFonts w:ascii="Times New Roman" w:hAnsi="Times New Roman"/>
          <w:sz w:val="24"/>
          <w:szCs w:val="24"/>
        </w:rPr>
        <w:t xml:space="preserve"> </w:t>
      </w:r>
      <w:r w:rsidR="00064AF8" w:rsidRPr="001D7099">
        <w:rPr>
          <w:rFonts w:ascii="Times New Roman" w:hAnsi="Times New Roman"/>
          <w:sz w:val="24"/>
          <w:szCs w:val="24"/>
        </w:rPr>
        <w:t xml:space="preserve">retrocedeu de </w:t>
      </w:r>
      <w:r w:rsidR="0087320D" w:rsidRPr="001D7099">
        <w:rPr>
          <w:rFonts w:ascii="Times New Roman" w:hAnsi="Times New Roman"/>
          <w:sz w:val="24"/>
          <w:szCs w:val="24"/>
        </w:rPr>
        <w:t>25</w:t>
      </w:r>
      <w:r w:rsidR="00064AF8" w:rsidRPr="001D7099">
        <w:rPr>
          <w:rFonts w:ascii="Times New Roman" w:hAnsi="Times New Roman"/>
          <w:sz w:val="24"/>
          <w:szCs w:val="24"/>
        </w:rPr>
        <w:t xml:space="preserve">% </w:t>
      </w:r>
      <w:r w:rsidR="00C81E24">
        <w:rPr>
          <w:rFonts w:ascii="Times New Roman" w:hAnsi="Times New Roman"/>
          <w:sz w:val="24"/>
          <w:szCs w:val="24"/>
        </w:rPr>
        <w:t xml:space="preserve">para </w:t>
      </w:r>
      <w:r w:rsidR="00064AF8" w:rsidRPr="001D7099">
        <w:rPr>
          <w:rFonts w:ascii="Times New Roman" w:hAnsi="Times New Roman"/>
          <w:sz w:val="24"/>
          <w:szCs w:val="24"/>
        </w:rPr>
        <w:t xml:space="preserve">16% </w:t>
      </w:r>
      <w:r w:rsidR="00C81E24">
        <w:rPr>
          <w:rFonts w:ascii="Times New Roman" w:hAnsi="Times New Roman"/>
          <w:sz w:val="24"/>
          <w:szCs w:val="24"/>
        </w:rPr>
        <w:t xml:space="preserve">da </w:t>
      </w:r>
      <w:r w:rsidR="00C81E24" w:rsidRPr="001D7099">
        <w:rPr>
          <w:rFonts w:ascii="Times New Roman" w:hAnsi="Times New Roman"/>
          <w:sz w:val="24"/>
          <w:szCs w:val="24"/>
        </w:rPr>
        <w:t xml:space="preserve">população </w:t>
      </w:r>
      <w:r w:rsidR="00C81E24">
        <w:rPr>
          <w:rFonts w:ascii="Times New Roman" w:hAnsi="Times New Roman"/>
          <w:sz w:val="24"/>
          <w:szCs w:val="24"/>
        </w:rPr>
        <w:t>entre 1813-1850</w:t>
      </w:r>
      <w:r w:rsidR="00C81E24">
        <w:rPr>
          <w:rStyle w:val="FootnoteReference"/>
          <w:rFonts w:ascii="Times New Roman" w:hAnsi="Times New Roman"/>
          <w:sz w:val="24"/>
          <w:szCs w:val="24"/>
        </w:rPr>
        <w:footnoteReference w:id="12"/>
      </w:r>
      <w:r w:rsidR="00C81E24">
        <w:rPr>
          <w:rFonts w:ascii="Times New Roman" w:hAnsi="Times New Roman"/>
          <w:sz w:val="24"/>
          <w:szCs w:val="24"/>
        </w:rPr>
        <w:t>.</w:t>
      </w:r>
      <w:r w:rsidR="00064AF8" w:rsidRPr="001D7099">
        <w:rPr>
          <w:rFonts w:ascii="Times New Roman" w:hAnsi="Times New Roman"/>
          <w:sz w:val="24"/>
          <w:szCs w:val="24"/>
        </w:rPr>
        <w:t xml:space="preserve"> </w:t>
      </w:r>
      <w:r w:rsidR="00E306D5" w:rsidRPr="001D7099">
        <w:rPr>
          <w:rFonts w:ascii="Times New Roman" w:hAnsi="Times New Roman"/>
          <w:sz w:val="24"/>
          <w:szCs w:val="24"/>
        </w:rPr>
        <w:t xml:space="preserve">A resultante dos </w:t>
      </w:r>
      <w:r w:rsidR="002E3EF5" w:rsidRPr="001D7099">
        <w:rPr>
          <w:rFonts w:ascii="Times New Roman" w:hAnsi="Times New Roman"/>
          <w:sz w:val="24"/>
          <w:szCs w:val="24"/>
        </w:rPr>
        <w:t xml:space="preserve">movimentos de recomposição setorial – aumento da categoria </w:t>
      </w:r>
      <w:r w:rsidR="00231CE3">
        <w:rPr>
          <w:rFonts w:ascii="Times New Roman" w:hAnsi="Times New Roman"/>
          <w:sz w:val="24"/>
          <w:szCs w:val="24"/>
        </w:rPr>
        <w:t xml:space="preserve">Agrícola </w:t>
      </w:r>
      <w:r w:rsidR="002E3EF5" w:rsidRPr="001D7099">
        <w:rPr>
          <w:rFonts w:ascii="Times New Roman" w:hAnsi="Times New Roman"/>
          <w:sz w:val="24"/>
          <w:szCs w:val="24"/>
        </w:rPr>
        <w:t xml:space="preserve">e aumento do peso da categoria </w:t>
      </w:r>
      <w:r w:rsidR="00231CE3">
        <w:rPr>
          <w:rFonts w:ascii="Times New Roman" w:hAnsi="Times New Roman"/>
          <w:sz w:val="24"/>
          <w:szCs w:val="24"/>
        </w:rPr>
        <w:lastRenderedPageBreak/>
        <w:t>U</w:t>
      </w:r>
      <w:r w:rsidR="002E3EF5" w:rsidRPr="001D7099">
        <w:rPr>
          <w:rFonts w:ascii="Times New Roman" w:hAnsi="Times New Roman"/>
          <w:sz w:val="24"/>
          <w:szCs w:val="24"/>
        </w:rPr>
        <w:t xml:space="preserve">rbana </w:t>
      </w:r>
      <w:r w:rsidR="00180978" w:rsidRPr="001D7099">
        <w:rPr>
          <w:rFonts w:ascii="Times New Roman" w:hAnsi="Times New Roman"/>
          <w:sz w:val="24"/>
          <w:szCs w:val="24"/>
        </w:rPr>
        <w:t>no</w:t>
      </w:r>
      <w:r w:rsidR="002E3EF5" w:rsidRPr="001D7099">
        <w:rPr>
          <w:rFonts w:ascii="Times New Roman" w:hAnsi="Times New Roman"/>
          <w:sz w:val="24"/>
          <w:szCs w:val="24"/>
        </w:rPr>
        <w:t xml:space="preserve"> setor qualificado – na formação do ISR e </w:t>
      </w:r>
      <w:r w:rsidR="00E306D5" w:rsidRPr="001D7099">
        <w:rPr>
          <w:rFonts w:ascii="Times New Roman" w:hAnsi="Times New Roman"/>
          <w:sz w:val="24"/>
          <w:szCs w:val="24"/>
        </w:rPr>
        <w:t xml:space="preserve">composição do </w:t>
      </w:r>
      <w:r w:rsidR="002E3EF5" w:rsidRPr="001D7099">
        <w:rPr>
          <w:rFonts w:ascii="Times New Roman" w:hAnsi="Times New Roman"/>
          <w:sz w:val="24"/>
          <w:szCs w:val="24"/>
        </w:rPr>
        <w:t xml:space="preserve">PIB é, ao contrário dos períodos precedentes, menos evidente. </w:t>
      </w:r>
    </w:p>
    <w:p w14:paraId="20228FB5" w14:textId="305BADA4" w:rsidR="00064AF8" w:rsidRPr="001D7099" w:rsidRDefault="00064AF8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Em termos gerais, o crescimento anualizado do PIB português entre 1600-1750 foi robusto – cerca de 0,86%/ano. Trata-se de um crescimento </w:t>
      </w:r>
      <w:r w:rsidR="00E72206" w:rsidRPr="001D7099">
        <w:rPr>
          <w:rFonts w:ascii="Times New Roman" w:hAnsi="Times New Roman"/>
          <w:sz w:val="24"/>
          <w:szCs w:val="24"/>
        </w:rPr>
        <w:t xml:space="preserve">não muito inferior </w:t>
      </w:r>
      <w:r w:rsidR="001C2CAF" w:rsidRPr="001D7099">
        <w:rPr>
          <w:rFonts w:ascii="Times New Roman" w:hAnsi="Times New Roman"/>
          <w:sz w:val="24"/>
          <w:szCs w:val="24"/>
        </w:rPr>
        <w:t xml:space="preserve">ao inglês </w:t>
      </w:r>
      <w:r w:rsidR="00E72206" w:rsidRPr="001D7099">
        <w:rPr>
          <w:rFonts w:ascii="Times New Roman" w:hAnsi="Times New Roman"/>
          <w:sz w:val="24"/>
          <w:szCs w:val="24"/>
        </w:rPr>
        <w:t>n</w:t>
      </w:r>
      <w:r w:rsidRPr="001D7099">
        <w:rPr>
          <w:rFonts w:ascii="Times New Roman" w:hAnsi="Times New Roman"/>
          <w:sz w:val="24"/>
          <w:szCs w:val="24"/>
        </w:rPr>
        <w:t xml:space="preserve">o mesmo </w:t>
      </w:r>
      <w:r w:rsidR="00E306D5" w:rsidRPr="001D7099">
        <w:rPr>
          <w:rFonts w:ascii="Times New Roman" w:hAnsi="Times New Roman"/>
          <w:sz w:val="24"/>
          <w:szCs w:val="24"/>
        </w:rPr>
        <w:t>intervalo</w:t>
      </w:r>
      <w:r w:rsidRPr="001D7099">
        <w:rPr>
          <w:rFonts w:ascii="Times New Roman" w:hAnsi="Times New Roman"/>
          <w:sz w:val="24"/>
          <w:szCs w:val="24"/>
        </w:rPr>
        <w:t xml:space="preserve"> (+0,93%)</w:t>
      </w:r>
      <w:r w:rsidRPr="001D7099">
        <w:rPr>
          <w:rStyle w:val="FootnoteReference"/>
          <w:rFonts w:ascii="Times New Roman" w:hAnsi="Times New Roman"/>
          <w:sz w:val="24"/>
          <w:szCs w:val="24"/>
        </w:rPr>
        <w:footnoteReference w:id="13"/>
      </w:r>
      <w:r w:rsidRPr="001D7099">
        <w:rPr>
          <w:rFonts w:ascii="Times New Roman" w:hAnsi="Times New Roman"/>
          <w:sz w:val="24"/>
          <w:szCs w:val="24"/>
        </w:rPr>
        <w:t xml:space="preserve">. Durante esse período, </w:t>
      </w:r>
      <w:r w:rsidR="003C1C81" w:rsidRPr="001D7099">
        <w:rPr>
          <w:rFonts w:ascii="Times New Roman" w:hAnsi="Times New Roman"/>
          <w:sz w:val="24"/>
          <w:szCs w:val="24"/>
        </w:rPr>
        <w:t xml:space="preserve">ocorreu uma </w:t>
      </w:r>
      <w:r w:rsidRPr="001D7099">
        <w:rPr>
          <w:rFonts w:ascii="Times New Roman" w:hAnsi="Times New Roman"/>
          <w:sz w:val="24"/>
          <w:szCs w:val="24"/>
        </w:rPr>
        <w:t>aumento acentuado da produtividade agrícola</w:t>
      </w:r>
      <w:r w:rsidR="00E306D5" w:rsidRPr="001D7099">
        <w:rPr>
          <w:rFonts w:ascii="Times New Roman" w:hAnsi="Times New Roman"/>
          <w:sz w:val="24"/>
          <w:szCs w:val="24"/>
        </w:rPr>
        <w:t xml:space="preserve">, um </w:t>
      </w:r>
      <w:r w:rsidR="003C1C81" w:rsidRPr="001D7099">
        <w:rPr>
          <w:rFonts w:ascii="Times New Roman" w:hAnsi="Times New Roman"/>
          <w:sz w:val="24"/>
          <w:szCs w:val="24"/>
        </w:rPr>
        <w:t xml:space="preserve">crescimento </w:t>
      </w:r>
      <w:r w:rsidR="00E306D5" w:rsidRPr="001D7099">
        <w:rPr>
          <w:rFonts w:ascii="Times New Roman" w:hAnsi="Times New Roman"/>
          <w:sz w:val="24"/>
          <w:szCs w:val="24"/>
        </w:rPr>
        <w:t>das categorias profissionais qualificadas</w:t>
      </w:r>
      <w:r w:rsidRPr="001D7099">
        <w:rPr>
          <w:rFonts w:ascii="Times New Roman" w:hAnsi="Times New Roman"/>
          <w:sz w:val="24"/>
          <w:szCs w:val="24"/>
        </w:rPr>
        <w:t xml:space="preserve"> e um recuo do rácio PAB/PIB para 38%. </w:t>
      </w:r>
      <w:r w:rsidR="00231CE3">
        <w:rPr>
          <w:rFonts w:ascii="Times New Roman" w:hAnsi="Times New Roman"/>
          <w:sz w:val="24"/>
          <w:szCs w:val="24"/>
        </w:rPr>
        <w:t xml:space="preserve">A tendência de crescimento desacelera </w:t>
      </w:r>
      <w:r w:rsidR="00E306D5" w:rsidRPr="001D7099">
        <w:rPr>
          <w:rFonts w:ascii="Times New Roman" w:hAnsi="Times New Roman"/>
          <w:sz w:val="24"/>
          <w:szCs w:val="24"/>
        </w:rPr>
        <w:t xml:space="preserve">a partir de </w:t>
      </w:r>
      <w:r w:rsidR="00E72206" w:rsidRPr="001D7099">
        <w:rPr>
          <w:rFonts w:ascii="Times New Roman" w:hAnsi="Times New Roman"/>
          <w:sz w:val="24"/>
          <w:szCs w:val="24"/>
        </w:rPr>
        <w:t>c. 1750</w:t>
      </w:r>
      <w:r w:rsidR="00231CE3">
        <w:rPr>
          <w:rFonts w:ascii="Times New Roman" w:hAnsi="Times New Roman"/>
          <w:sz w:val="24"/>
          <w:szCs w:val="24"/>
        </w:rPr>
        <w:t xml:space="preserve"> (+ </w:t>
      </w:r>
      <w:r w:rsidR="00231CE3" w:rsidRPr="001D7099">
        <w:rPr>
          <w:rFonts w:ascii="Times New Roman" w:hAnsi="Times New Roman"/>
          <w:sz w:val="24"/>
          <w:szCs w:val="24"/>
        </w:rPr>
        <w:t>0,14%/ano</w:t>
      </w:r>
      <w:r w:rsidR="00231CE3">
        <w:rPr>
          <w:rFonts w:ascii="Times New Roman" w:hAnsi="Times New Roman"/>
          <w:sz w:val="24"/>
          <w:szCs w:val="24"/>
        </w:rPr>
        <w:t xml:space="preserve"> no </w:t>
      </w:r>
      <w:r w:rsidR="00CD58CF" w:rsidRPr="001D7099">
        <w:rPr>
          <w:rFonts w:ascii="Times New Roman" w:hAnsi="Times New Roman"/>
          <w:sz w:val="24"/>
          <w:szCs w:val="24"/>
        </w:rPr>
        <w:t xml:space="preserve">terceiro quartel </w:t>
      </w:r>
      <w:r w:rsidRPr="001D7099">
        <w:rPr>
          <w:rFonts w:ascii="Times New Roman" w:hAnsi="Times New Roman"/>
          <w:sz w:val="24"/>
          <w:szCs w:val="24"/>
        </w:rPr>
        <w:t>do século XVIII</w:t>
      </w:r>
      <w:r w:rsidR="00231CE3">
        <w:rPr>
          <w:rFonts w:ascii="Times New Roman" w:hAnsi="Times New Roman"/>
          <w:sz w:val="24"/>
          <w:szCs w:val="24"/>
        </w:rPr>
        <w:t xml:space="preserve">) e </w:t>
      </w:r>
      <w:r w:rsidR="00E306D5" w:rsidRPr="001D7099">
        <w:rPr>
          <w:rFonts w:ascii="Times New Roman" w:hAnsi="Times New Roman"/>
          <w:sz w:val="24"/>
          <w:szCs w:val="24"/>
        </w:rPr>
        <w:t xml:space="preserve">entra </w:t>
      </w:r>
      <w:r w:rsidR="00231CE3">
        <w:rPr>
          <w:rFonts w:ascii="Times New Roman" w:hAnsi="Times New Roman"/>
          <w:sz w:val="24"/>
          <w:szCs w:val="24"/>
        </w:rPr>
        <w:t xml:space="preserve">depois em </w:t>
      </w:r>
      <w:r w:rsidR="00CD58CF" w:rsidRPr="001D7099">
        <w:rPr>
          <w:rFonts w:ascii="Times New Roman" w:hAnsi="Times New Roman"/>
          <w:sz w:val="24"/>
          <w:szCs w:val="24"/>
        </w:rPr>
        <w:t xml:space="preserve">declínio acentuado </w:t>
      </w:r>
      <w:r w:rsidR="00231CE3">
        <w:rPr>
          <w:rFonts w:ascii="Times New Roman" w:hAnsi="Times New Roman"/>
          <w:sz w:val="24"/>
          <w:szCs w:val="24"/>
        </w:rPr>
        <w:t xml:space="preserve">no até </w:t>
      </w:r>
      <w:r w:rsidR="00CD58CF" w:rsidRPr="001D7099">
        <w:rPr>
          <w:rFonts w:ascii="Times New Roman" w:hAnsi="Times New Roman"/>
          <w:sz w:val="24"/>
          <w:szCs w:val="24"/>
        </w:rPr>
        <w:t xml:space="preserve">1813. </w:t>
      </w:r>
      <w:r w:rsidRPr="001D7099">
        <w:rPr>
          <w:rFonts w:ascii="Times New Roman" w:hAnsi="Times New Roman"/>
          <w:sz w:val="24"/>
          <w:szCs w:val="24"/>
        </w:rPr>
        <w:t>Quando</w:t>
      </w:r>
      <w:r w:rsidR="00231CE3">
        <w:rPr>
          <w:rFonts w:ascii="Times New Roman" w:hAnsi="Times New Roman"/>
          <w:sz w:val="24"/>
          <w:szCs w:val="24"/>
        </w:rPr>
        <w:t>,</w:t>
      </w:r>
      <w:r w:rsidR="0092297C" w:rsidRPr="001D7099"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 xml:space="preserve">após </w:t>
      </w:r>
      <w:r w:rsidR="0092297C" w:rsidRPr="001D7099">
        <w:rPr>
          <w:rFonts w:ascii="Times New Roman" w:hAnsi="Times New Roman"/>
          <w:sz w:val="24"/>
          <w:szCs w:val="24"/>
        </w:rPr>
        <w:t xml:space="preserve">a </w:t>
      </w:r>
      <w:r w:rsidRPr="001D7099">
        <w:rPr>
          <w:rFonts w:ascii="Times New Roman" w:hAnsi="Times New Roman"/>
          <w:sz w:val="24"/>
          <w:szCs w:val="24"/>
        </w:rPr>
        <w:t xml:space="preserve">Guerra Peninsular, </w:t>
      </w:r>
      <w:r w:rsidR="00231CE3" w:rsidRPr="001D7099">
        <w:rPr>
          <w:rFonts w:ascii="Times New Roman" w:hAnsi="Times New Roman"/>
          <w:sz w:val="24"/>
          <w:szCs w:val="24"/>
        </w:rPr>
        <w:t xml:space="preserve">se </w:t>
      </w:r>
      <w:r w:rsidR="009A3EEE">
        <w:rPr>
          <w:rFonts w:ascii="Times New Roman" w:hAnsi="Times New Roman"/>
          <w:sz w:val="24"/>
          <w:szCs w:val="24"/>
        </w:rPr>
        <w:t xml:space="preserve">dá </w:t>
      </w:r>
      <w:r w:rsidR="00231CE3" w:rsidRPr="001D7099">
        <w:rPr>
          <w:rFonts w:ascii="Times New Roman" w:hAnsi="Times New Roman"/>
          <w:sz w:val="24"/>
          <w:szCs w:val="24"/>
        </w:rPr>
        <w:t>uma retoma económica</w:t>
      </w:r>
      <w:r w:rsidR="00231CE3">
        <w:rPr>
          <w:rFonts w:ascii="Times New Roman" w:hAnsi="Times New Roman"/>
          <w:sz w:val="24"/>
          <w:szCs w:val="24"/>
        </w:rPr>
        <w:t>,</w:t>
      </w:r>
      <w:r w:rsidR="00231CE3" w:rsidRPr="001D7099">
        <w:rPr>
          <w:rFonts w:ascii="Times New Roman" w:hAnsi="Times New Roman"/>
          <w:sz w:val="24"/>
          <w:szCs w:val="24"/>
        </w:rPr>
        <w:t xml:space="preserve"> </w:t>
      </w:r>
      <w:r w:rsidR="003C1C81" w:rsidRPr="001D7099">
        <w:rPr>
          <w:rFonts w:ascii="Times New Roman" w:hAnsi="Times New Roman"/>
          <w:sz w:val="24"/>
          <w:szCs w:val="24"/>
        </w:rPr>
        <w:t xml:space="preserve">a estrutura </w:t>
      </w:r>
      <w:r w:rsidR="00231CE3">
        <w:rPr>
          <w:rFonts w:ascii="Times New Roman" w:hAnsi="Times New Roman"/>
          <w:sz w:val="24"/>
          <w:szCs w:val="24"/>
        </w:rPr>
        <w:t xml:space="preserve">da </w:t>
      </w:r>
      <w:r w:rsidR="00DA684D" w:rsidRPr="001D7099">
        <w:rPr>
          <w:rFonts w:ascii="Times New Roman" w:hAnsi="Times New Roman"/>
          <w:sz w:val="24"/>
          <w:szCs w:val="24"/>
        </w:rPr>
        <w:t xml:space="preserve">atividade económica havia-se </w:t>
      </w:r>
      <w:r w:rsidR="00231CE3">
        <w:rPr>
          <w:rFonts w:ascii="Times New Roman" w:hAnsi="Times New Roman"/>
          <w:sz w:val="24"/>
          <w:szCs w:val="24"/>
        </w:rPr>
        <w:t xml:space="preserve">já </w:t>
      </w:r>
      <w:r w:rsidR="00DA684D" w:rsidRPr="001D7099">
        <w:rPr>
          <w:rFonts w:ascii="Times New Roman" w:hAnsi="Times New Roman"/>
          <w:sz w:val="24"/>
          <w:szCs w:val="24"/>
        </w:rPr>
        <w:t xml:space="preserve">alterado a favor da agricultura. </w:t>
      </w:r>
      <w:r w:rsidR="00E72206" w:rsidRPr="001D7099">
        <w:rPr>
          <w:rFonts w:ascii="Times New Roman" w:hAnsi="Times New Roman"/>
          <w:sz w:val="24"/>
          <w:szCs w:val="24"/>
        </w:rPr>
        <w:t>Essa tendência prosseguiu até ao final da cronologia</w:t>
      </w:r>
      <w:r w:rsidR="0092297C" w:rsidRPr="001D7099">
        <w:rPr>
          <w:rFonts w:ascii="Times New Roman" w:hAnsi="Times New Roman"/>
          <w:sz w:val="24"/>
          <w:szCs w:val="24"/>
        </w:rPr>
        <w:t xml:space="preserve">, </w:t>
      </w:r>
      <w:r w:rsidR="00DA684D" w:rsidRPr="001D7099">
        <w:rPr>
          <w:rFonts w:ascii="Times New Roman" w:hAnsi="Times New Roman"/>
          <w:sz w:val="24"/>
          <w:szCs w:val="24"/>
        </w:rPr>
        <w:t xml:space="preserve">não à custa </w:t>
      </w:r>
      <w:r w:rsidR="0092297C" w:rsidRPr="001D7099">
        <w:rPr>
          <w:rFonts w:ascii="Times New Roman" w:hAnsi="Times New Roman"/>
          <w:sz w:val="24"/>
          <w:szCs w:val="24"/>
        </w:rPr>
        <w:t>d</w:t>
      </w:r>
      <w:r w:rsidR="00DA684D" w:rsidRPr="001D7099">
        <w:rPr>
          <w:rFonts w:ascii="Times New Roman" w:hAnsi="Times New Roman"/>
          <w:sz w:val="24"/>
          <w:szCs w:val="24"/>
        </w:rPr>
        <w:t xml:space="preserve">e uma </w:t>
      </w:r>
      <w:r w:rsidR="0092297C" w:rsidRPr="001D7099">
        <w:rPr>
          <w:rFonts w:ascii="Times New Roman" w:hAnsi="Times New Roman"/>
          <w:sz w:val="24"/>
          <w:szCs w:val="24"/>
        </w:rPr>
        <w:t>desurbanização</w:t>
      </w:r>
      <w:r w:rsidR="00DA684D" w:rsidRPr="001D7099">
        <w:rPr>
          <w:rFonts w:ascii="Times New Roman" w:hAnsi="Times New Roman"/>
          <w:sz w:val="24"/>
          <w:szCs w:val="24"/>
        </w:rPr>
        <w:t xml:space="preserve">, mas </w:t>
      </w:r>
      <w:r w:rsidR="003C1C81" w:rsidRPr="001D7099">
        <w:rPr>
          <w:rFonts w:ascii="Times New Roman" w:hAnsi="Times New Roman"/>
          <w:sz w:val="24"/>
          <w:szCs w:val="24"/>
        </w:rPr>
        <w:t xml:space="preserve">num movimento de </w:t>
      </w:r>
      <w:r w:rsidR="00DA684D" w:rsidRPr="001D7099">
        <w:rPr>
          <w:rFonts w:ascii="Times New Roman" w:hAnsi="Times New Roman"/>
          <w:sz w:val="24"/>
          <w:szCs w:val="24"/>
        </w:rPr>
        <w:t>involução da atividade económica nos meios rurais.</w:t>
      </w:r>
      <w:r w:rsidR="00F6222C" w:rsidRPr="001D7099">
        <w:rPr>
          <w:rFonts w:ascii="Times New Roman" w:hAnsi="Times New Roman"/>
          <w:sz w:val="24"/>
          <w:szCs w:val="24"/>
        </w:rPr>
        <w:t xml:space="preserve"> </w:t>
      </w:r>
    </w:p>
    <w:p w14:paraId="1F40ACBD" w14:textId="4CD19F5D" w:rsidR="00AB5ABB" w:rsidRPr="001D7099" w:rsidRDefault="00AB5ABB" w:rsidP="00231CE3">
      <w:pPr>
        <w:ind w:firstLine="142"/>
        <w:jc w:val="center"/>
        <w:rPr>
          <w:rFonts w:ascii="Times New Roman" w:hAnsi="Times New Roman"/>
          <w:sz w:val="24"/>
          <w:szCs w:val="24"/>
        </w:rPr>
      </w:pPr>
    </w:p>
    <w:p w14:paraId="3060DF8F" w14:textId="7E155B79" w:rsidR="00510B2C" w:rsidRPr="009E21E1" w:rsidRDefault="000B6E81" w:rsidP="00730434">
      <w:pPr>
        <w:pStyle w:val="Heading1"/>
      </w:pPr>
      <w:bookmarkStart w:id="12" w:name="_Toc137755368"/>
      <w:bookmarkStart w:id="13" w:name="_Ref138240546"/>
      <w:r w:rsidRPr="009E21E1">
        <w:t xml:space="preserve">Decomposição </w:t>
      </w:r>
      <w:r w:rsidR="009E21E1" w:rsidRPr="009E21E1">
        <w:t xml:space="preserve">Analítica </w:t>
      </w:r>
      <w:r w:rsidR="005D6906" w:rsidRPr="009E21E1">
        <w:t xml:space="preserve">do </w:t>
      </w:r>
      <w:r w:rsidRPr="009E21E1">
        <w:t>Rendimento</w:t>
      </w:r>
      <w:r w:rsidR="00510B2C" w:rsidRPr="009E21E1">
        <w:t xml:space="preserve"> </w:t>
      </w:r>
      <w:r w:rsidR="005D6906" w:rsidRPr="009E21E1">
        <w:t>por Categorias Profissionais</w:t>
      </w:r>
      <w:bookmarkEnd w:id="12"/>
      <w:bookmarkEnd w:id="13"/>
      <w:r w:rsidR="005D6906" w:rsidRPr="009E21E1">
        <w:t xml:space="preserve"> </w:t>
      </w:r>
    </w:p>
    <w:p w14:paraId="6C4E49F1" w14:textId="7751A4A2" w:rsidR="002A5517" w:rsidRPr="001D7099" w:rsidRDefault="00B041EB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Como abordado em </w:t>
      </w:r>
      <w:r w:rsidR="0033378F" w:rsidRPr="001D7099">
        <w:rPr>
          <w:rFonts w:ascii="Times New Roman" w:hAnsi="Times New Roman"/>
          <w:sz w:val="24"/>
          <w:szCs w:val="24"/>
        </w:rPr>
        <w:fldChar w:fldCharType="begin"/>
      </w:r>
      <w:r w:rsidR="0033378F" w:rsidRPr="001D7099">
        <w:rPr>
          <w:rFonts w:ascii="Times New Roman" w:hAnsi="Times New Roman"/>
          <w:sz w:val="24"/>
          <w:szCs w:val="24"/>
        </w:rPr>
        <w:instrText xml:space="preserve"> REF _Ref133245649 \r \h  \* MERGEFORMAT </w:instrText>
      </w:r>
      <w:r w:rsidR="0033378F" w:rsidRPr="001D7099">
        <w:rPr>
          <w:rFonts w:ascii="Times New Roman" w:hAnsi="Times New Roman"/>
          <w:sz w:val="24"/>
          <w:szCs w:val="24"/>
        </w:rPr>
      </w:r>
      <w:r w:rsidR="0033378F" w:rsidRPr="001D7099">
        <w:rPr>
          <w:rFonts w:ascii="Times New Roman" w:hAnsi="Times New Roman"/>
          <w:sz w:val="24"/>
          <w:szCs w:val="24"/>
        </w:rPr>
        <w:fldChar w:fldCharType="separate"/>
      </w:r>
      <w:r w:rsidR="00F535A2" w:rsidRPr="001D7099">
        <w:rPr>
          <w:rFonts w:ascii="Times New Roman" w:hAnsi="Times New Roman"/>
          <w:sz w:val="24"/>
          <w:szCs w:val="24"/>
        </w:rPr>
        <w:t>2.1</w:t>
      </w:r>
      <w:r w:rsidR="0033378F" w:rsidRPr="001D7099">
        <w:rPr>
          <w:rFonts w:ascii="Times New Roman" w:hAnsi="Times New Roman"/>
          <w:sz w:val="24"/>
          <w:szCs w:val="24"/>
        </w:rPr>
        <w:fldChar w:fldCharType="end"/>
      </w:r>
      <w:r w:rsidR="0033378F" w:rsidRPr="001D7099">
        <w:rPr>
          <w:rFonts w:ascii="Times New Roman" w:hAnsi="Times New Roman"/>
          <w:sz w:val="24"/>
          <w:szCs w:val="24"/>
        </w:rPr>
        <w:t xml:space="preserve">, </w:t>
      </w:r>
      <w:r w:rsidR="00964330" w:rsidRPr="001D7099">
        <w:rPr>
          <w:rFonts w:ascii="Times New Roman" w:hAnsi="Times New Roman"/>
          <w:sz w:val="24"/>
          <w:szCs w:val="24"/>
        </w:rPr>
        <w:t xml:space="preserve">o índice de salários reais nacional (ISR) foi calculado com </w:t>
      </w:r>
      <w:r w:rsidR="00681DBC" w:rsidRPr="001D7099">
        <w:rPr>
          <w:rFonts w:ascii="Times New Roman" w:hAnsi="Times New Roman"/>
          <w:sz w:val="24"/>
          <w:szCs w:val="24"/>
        </w:rPr>
        <w:t>recurso à expressão 1)</w:t>
      </w:r>
      <w:r w:rsidR="00C84BBE" w:rsidRPr="001D7099">
        <w:rPr>
          <w:rFonts w:ascii="Times New Roman" w:hAnsi="Times New Roman"/>
          <w:sz w:val="24"/>
          <w:szCs w:val="24"/>
        </w:rPr>
        <w:t xml:space="preserve">. </w:t>
      </w:r>
      <w:r w:rsidR="00964330" w:rsidRPr="001D7099">
        <w:rPr>
          <w:rFonts w:ascii="Times New Roman" w:hAnsi="Times New Roman"/>
          <w:sz w:val="24"/>
          <w:szCs w:val="24"/>
        </w:rPr>
        <w:t>Contudo, o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2A5517" w:rsidRPr="001D7099">
        <w:rPr>
          <w:rFonts w:ascii="Times New Roman" w:hAnsi="Times New Roman"/>
          <w:sz w:val="24"/>
          <w:szCs w:val="24"/>
        </w:rPr>
        <w:t xml:space="preserve">ISR apresentado </w:t>
      </w:r>
      <w:r w:rsidR="004D5C76" w:rsidRPr="001D7099">
        <w:rPr>
          <w:rFonts w:ascii="Times New Roman" w:hAnsi="Times New Roman"/>
          <w:sz w:val="24"/>
          <w:szCs w:val="24"/>
        </w:rPr>
        <w:t xml:space="preserve">por Palma &amp; Reis (2019) </w:t>
      </w:r>
      <w:r w:rsidRPr="001D7099">
        <w:rPr>
          <w:rFonts w:ascii="Times New Roman" w:hAnsi="Times New Roman"/>
          <w:sz w:val="24"/>
          <w:szCs w:val="24"/>
        </w:rPr>
        <w:t>encontra</w:t>
      </w:r>
      <w:r w:rsidR="00964330" w:rsidRPr="001D7099">
        <w:rPr>
          <w:rFonts w:ascii="Times New Roman" w:hAnsi="Times New Roman"/>
          <w:sz w:val="24"/>
          <w:szCs w:val="24"/>
        </w:rPr>
        <w:t>-se</w:t>
      </w:r>
      <w:r w:rsidRPr="001D7099">
        <w:rPr>
          <w:rFonts w:ascii="Times New Roman" w:hAnsi="Times New Roman"/>
          <w:sz w:val="24"/>
          <w:szCs w:val="24"/>
        </w:rPr>
        <w:t xml:space="preserve"> ajustado </w:t>
      </w:r>
      <w:r w:rsidR="00964330" w:rsidRPr="001D7099">
        <w:rPr>
          <w:rFonts w:ascii="Times New Roman" w:hAnsi="Times New Roman"/>
          <w:sz w:val="24"/>
          <w:szCs w:val="24"/>
        </w:rPr>
        <w:t>à</w:t>
      </w:r>
      <w:r w:rsidRPr="001D7099">
        <w:rPr>
          <w:rFonts w:ascii="Times New Roman" w:hAnsi="Times New Roman"/>
          <w:sz w:val="24"/>
          <w:szCs w:val="24"/>
        </w:rPr>
        <w:t xml:space="preserve"> distribuição ocupacional da população</w:t>
      </w:r>
      <w:r w:rsidR="002A5517" w:rsidRPr="001D7099">
        <w:rPr>
          <w:rFonts w:ascii="Times New Roman" w:hAnsi="Times New Roman"/>
          <w:sz w:val="24"/>
          <w:szCs w:val="24"/>
        </w:rPr>
        <w:t xml:space="preserve"> e incorpora a evolução crescente do input  de trabalho anual</w:t>
      </w:r>
      <w:r w:rsidRPr="001D7099">
        <w:rPr>
          <w:rFonts w:ascii="Times New Roman" w:hAnsi="Times New Roman"/>
          <w:sz w:val="24"/>
          <w:szCs w:val="24"/>
        </w:rPr>
        <w:t xml:space="preserve">, pelo que não é </w:t>
      </w:r>
      <w:r w:rsidR="00C84BBE" w:rsidRPr="001D7099">
        <w:rPr>
          <w:rFonts w:ascii="Times New Roman" w:hAnsi="Times New Roman"/>
          <w:sz w:val="24"/>
          <w:szCs w:val="24"/>
        </w:rPr>
        <w:t xml:space="preserve">diretamente </w:t>
      </w:r>
      <w:r w:rsidRPr="001D7099">
        <w:rPr>
          <w:rFonts w:ascii="Times New Roman" w:hAnsi="Times New Roman"/>
          <w:sz w:val="24"/>
          <w:szCs w:val="24"/>
        </w:rPr>
        <w:t>discernível o contributo de cada um dos fatores</w:t>
      </w:r>
      <w:r w:rsidR="002A5517" w:rsidRPr="001D7099">
        <w:rPr>
          <w:rFonts w:ascii="Times New Roman" w:hAnsi="Times New Roman"/>
          <w:sz w:val="24"/>
          <w:szCs w:val="24"/>
        </w:rPr>
        <w:t>: variação dos salários</w:t>
      </w:r>
      <w:r w:rsidR="00964330" w:rsidRPr="001D7099">
        <w:rPr>
          <w:rFonts w:ascii="Times New Roman" w:hAnsi="Times New Roman"/>
          <w:sz w:val="24"/>
          <w:szCs w:val="24"/>
        </w:rPr>
        <w:t xml:space="preserve"> jornaleiros</w:t>
      </w:r>
      <w:r w:rsidR="002A5517" w:rsidRPr="001D7099">
        <w:rPr>
          <w:rFonts w:ascii="Times New Roman" w:hAnsi="Times New Roman"/>
          <w:sz w:val="24"/>
          <w:szCs w:val="24"/>
        </w:rPr>
        <w:t xml:space="preserve">, estrutura ocupacional da população e input de trabalho. </w:t>
      </w:r>
      <w:r w:rsidR="009E21E1">
        <w:rPr>
          <w:rFonts w:ascii="Times New Roman" w:hAnsi="Times New Roman"/>
          <w:sz w:val="24"/>
          <w:szCs w:val="24"/>
        </w:rPr>
        <w:t>U</w:t>
      </w:r>
      <w:r w:rsidRPr="001D7099">
        <w:rPr>
          <w:rFonts w:ascii="Times New Roman" w:hAnsi="Times New Roman"/>
          <w:sz w:val="24"/>
          <w:szCs w:val="24"/>
        </w:rPr>
        <w:t xml:space="preserve">m aumento </w:t>
      </w:r>
      <w:r w:rsidR="002A5517" w:rsidRPr="001D7099">
        <w:rPr>
          <w:rFonts w:ascii="Times New Roman" w:hAnsi="Times New Roman"/>
          <w:sz w:val="24"/>
          <w:szCs w:val="24"/>
        </w:rPr>
        <w:t xml:space="preserve">do ISR </w:t>
      </w:r>
      <w:r w:rsidRPr="001D7099">
        <w:rPr>
          <w:rFonts w:ascii="Times New Roman" w:hAnsi="Times New Roman"/>
          <w:sz w:val="24"/>
          <w:szCs w:val="24"/>
        </w:rPr>
        <w:t>pode simplesmente resultar da transferência de população d</w:t>
      </w:r>
      <w:r w:rsidR="00FB16AF" w:rsidRPr="001D7099">
        <w:rPr>
          <w:rFonts w:ascii="Times New Roman" w:hAnsi="Times New Roman"/>
          <w:sz w:val="24"/>
          <w:szCs w:val="24"/>
        </w:rPr>
        <w:t>a</w:t>
      </w:r>
      <w:r w:rsidRPr="001D7099">
        <w:rPr>
          <w:rFonts w:ascii="Times New Roman" w:hAnsi="Times New Roman"/>
          <w:sz w:val="24"/>
          <w:szCs w:val="24"/>
        </w:rPr>
        <w:t xml:space="preserve"> setor agrícola para o </w:t>
      </w:r>
      <w:r w:rsidR="009E21E1">
        <w:rPr>
          <w:rFonts w:ascii="Times New Roman" w:hAnsi="Times New Roman"/>
          <w:sz w:val="24"/>
          <w:szCs w:val="24"/>
        </w:rPr>
        <w:t xml:space="preserve">setor </w:t>
      </w:r>
      <w:r w:rsidRPr="001D7099">
        <w:rPr>
          <w:rFonts w:ascii="Times New Roman" w:hAnsi="Times New Roman"/>
          <w:sz w:val="24"/>
          <w:szCs w:val="24"/>
        </w:rPr>
        <w:t xml:space="preserve">RNAG ou </w:t>
      </w:r>
      <w:r w:rsidR="009E21E1">
        <w:rPr>
          <w:rFonts w:ascii="Times New Roman" w:hAnsi="Times New Roman"/>
          <w:sz w:val="24"/>
          <w:szCs w:val="24"/>
        </w:rPr>
        <w:t>U</w:t>
      </w:r>
      <w:r w:rsidRPr="001D7099">
        <w:rPr>
          <w:rFonts w:ascii="Times New Roman" w:hAnsi="Times New Roman"/>
          <w:sz w:val="24"/>
          <w:szCs w:val="24"/>
        </w:rPr>
        <w:t>rbano</w:t>
      </w:r>
      <w:r w:rsidR="00061A17" w:rsidRPr="001D7099">
        <w:rPr>
          <w:rFonts w:ascii="Times New Roman" w:hAnsi="Times New Roman"/>
          <w:sz w:val="24"/>
          <w:szCs w:val="24"/>
        </w:rPr>
        <w:t>, mantendo-se inalterado</w:t>
      </w:r>
      <w:r w:rsidR="009E21E1">
        <w:rPr>
          <w:rFonts w:ascii="Times New Roman" w:hAnsi="Times New Roman"/>
          <w:sz w:val="24"/>
          <w:szCs w:val="24"/>
        </w:rPr>
        <w:t xml:space="preserve"> o nível dos salários jornaleiros</w:t>
      </w:r>
      <w:r w:rsidRPr="001D7099">
        <w:rPr>
          <w:rFonts w:ascii="Times New Roman" w:hAnsi="Times New Roman"/>
          <w:sz w:val="24"/>
          <w:szCs w:val="24"/>
        </w:rPr>
        <w:t xml:space="preserve">. </w:t>
      </w:r>
      <w:r w:rsidR="002A5517" w:rsidRPr="001D7099">
        <w:rPr>
          <w:rFonts w:ascii="Times New Roman" w:hAnsi="Times New Roman"/>
          <w:sz w:val="24"/>
          <w:szCs w:val="24"/>
        </w:rPr>
        <w:t xml:space="preserve">Ou todos esses fatores podem permanecer estáveis e a variação do ISR ser explicada apenas pelo aumento do input de trabalho. Esta secção tem </w:t>
      </w:r>
      <w:r w:rsidR="00FB16AF" w:rsidRPr="001D7099">
        <w:rPr>
          <w:rFonts w:ascii="Times New Roman" w:hAnsi="Times New Roman"/>
          <w:sz w:val="24"/>
          <w:szCs w:val="24"/>
        </w:rPr>
        <w:t>como objetivo propor uma expressão analítica aproximada que permit</w:t>
      </w:r>
      <w:r w:rsidR="00964330" w:rsidRPr="001D7099">
        <w:rPr>
          <w:rFonts w:ascii="Times New Roman" w:hAnsi="Times New Roman"/>
          <w:sz w:val="24"/>
          <w:szCs w:val="24"/>
        </w:rPr>
        <w:t>a</w:t>
      </w:r>
      <w:r w:rsidR="00FB16AF" w:rsidRPr="001D7099">
        <w:rPr>
          <w:rFonts w:ascii="Times New Roman" w:hAnsi="Times New Roman"/>
          <w:sz w:val="24"/>
          <w:szCs w:val="24"/>
        </w:rPr>
        <w:t xml:space="preserve"> alcançar </w:t>
      </w:r>
      <w:r w:rsidR="002A5517" w:rsidRPr="001D7099">
        <w:rPr>
          <w:rFonts w:ascii="Times New Roman" w:hAnsi="Times New Roman"/>
          <w:sz w:val="24"/>
          <w:szCs w:val="24"/>
        </w:rPr>
        <w:t xml:space="preserve">dois objetivos. O primeiro é estimar a composição setorial </w:t>
      </w:r>
      <w:r w:rsidR="002A5517" w:rsidRPr="001D7099">
        <w:rPr>
          <w:rFonts w:ascii="Times New Roman" w:hAnsi="Times New Roman"/>
          <w:sz w:val="24"/>
          <w:szCs w:val="24"/>
        </w:rPr>
        <w:lastRenderedPageBreak/>
        <w:t xml:space="preserve">do ISR </w:t>
      </w:r>
      <w:r w:rsidR="00964330" w:rsidRPr="001D7099">
        <w:rPr>
          <w:rFonts w:ascii="Times New Roman" w:hAnsi="Times New Roman"/>
          <w:sz w:val="24"/>
          <w:szCs w:val="24"/>
        </w:rPr>
        <w:t xml:space="preserve">por </w:t>
      </w:r>
      <w:r w:rsidR="002A5517" w:rsidRPr="001D7099">
        <w:rPr>
          <w:rFonts w:ascii="Times New Roman" w:hAnsi="Times New Roman"/>
          <w:sz w:val="24"/>
          <w:szCs w:val="24"/>
        </w:rPr>
        <w:t>categoria profissiona</w:t>
      </w:r>
      <w:r w:rsidR="00964330" w:rsidRPr="001D7099">
        <w:rPr>
          <w:rFonts w:ascii="Times New Roman" w:hAnsi="Times New Roman"/>
          <w:sz w:val="24"/>
          <w:szCs w:val="24"/>
        </w:rPr>
        <w:t>l</w:t>
      </w:r>
      <w:r w:rsidR="002A5517" w:rsidRPr="001D7099">
        <w:rPr>
          <w:rFonts w:ascii="Times New Roman" w:hAnsi="Times New Roman"/>
          <w:sz w:val="24"/>
          <w:szCs w:val="24"/>
        </w:rPr>
        <w:t xml:space="preserve">. O segundo é discernir o contributo de cada um dos fatores mencionados (salários, estrutura ocupacional e input de trabalho) na variação do ISR. </w:t>
      </w:r>
    </w:p>
    <w:p w14:paraId="429B8672" w14:textId="4F772F3F" w:rsidR="00391363" w:rsidRPr="001D7099" w:rsidRDefault="00BF1530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A estimativa do </w:t>
      </w:r>
      <w:r w:rsidR="00326F99" w:rsidRPr="001D7099">
        <w:rPr>
          <w:rFonts w:ascii="Times New Roman" w:hAnsi="Times New Roman"/>
          <w:sz w:val="24"/>
          <w:szCs w:val="24"/>
        </w:rPr>
        <w:t xml:space="preserve">contributo autónomo de cada categoria profissional </w:t>
      </w:r>
      <w:r w:rsidRPr="001D7099">
        <w:rPr>
          <w:rFonts w:ascii="Times New Roman" w:hAnsi="Times New Roman"/>
          <w:sz w:val="24"/>
          <w:szCs w:val="24"/>
        </w:rPr>
        <w:t xml:space="preserve">na formação do ISR </w:t>
      </w:r>
      <w:r w:rsidR="00FF41E2" w:rsidRPr="001D7099">
        <w:rPr>
          <w:rFonts w:ascii="Times New Roman" w:hAnsi="Times New Roman"/>
          <w:sz w:val="24"/>
          <w:szCs w:val="24"/>
        </w:rPr>
        <w:t xml:space="preserve">assenta em duas </w:t>
      </w:r>
      <w:r w:rsidR="009122BE" w:rsidRPr="001D7099">
        <w:rPr>
          <w:rFonts w:ascii="Times New Roman" w:hAnsi="Times New Roman"/>
          <w:sz w:val="24"/>
          <w:szCs w:val="24"/>
        </w:rPr>
        <w:t>premissa</w:t>
      </w:r>
      <w:r w:rsidR="00FF41E2" w:rsidRPr="001D7099">
        <w:rPr>
          <w:rFonts w:ascii="Times New Roman" w:hAnsi="Times New Roman"/>
          <w:sz w:val="24"/>
          <w:szCs w:val="24"/>
        </w:rPr>
        <w:t>s: i) que os salários jornaleiros de cada categoria profissional podem ser escritos apenas em função dos skill premi</w:t>
      </w:r>
      <w:r w:rsidR="00391363" w:rsidRPr="001D7099">
        <w:rPr>
          <w:rFonts w:ascii="Times New Roman" w:hAnsi="Times New Roman"/>
          <w:sz w:val="24"/>
          <w:szCs w:val="24"/>
        </w:rPr>
        <w:t>a</w:t>
      </w:r>
      <w:r w:rsidR="003707C1" w:rsidRPr="001D7099">
        <w:rPr>
          <w:rFonts w:ascii="Times New Roman" w:hAnsi="Times New Roman"/>
          <w:sz w:val="24"/>
          <w:szCs w:val="24"/>
        </w:rPr>
        <w:t xml:space="preserve"> (</w:t>
      </w:r>
      <w:r w:rsidR="00F50651" w:rsidRPr="001D7099">
        <w:rPr>
          <w:rFonts w:ascii="Times New Roman" w:hAnsi="Times New Roman"/>
          <w:sz w:val="24"/>
          <w:szCs w:val="24"/>
        </w:rPr>
        <w:t xml:space="preserve">dos trabalhadores </w:t>
      </w:r>
      <w:r w:rsidRPr="001D7099">
        <w:rPr>
          <w:rFonts w:ascii="Times New Roman" w:hAnsi="Times New Roman"/>
          <w:sz w:val="24"/>
          <w:szCs w:val="24"/>
        </w:rPr>
        <w:t xml:space="preserve">Urbanos </w:t>
      </w:r>
      <w:r w:rsidR="00F50651" w:rsidRPr="001D7099">
        <w:rPr>
          <w:rFonts w:ascii="Times New Roman" w:hAnsi="Times New Roman"/>
          <w:sz w:val="24"/>
          <w:szCs w:val="24"/>
        </w:rPr>
        <w:t>e RNAG</w:t>
      </w:r>
      <w:r w:rsidR="00316590" w:rsidRPr="001D7099">
        <w:rPr>
          <w:rFonts w:ascii="Times New Roman" w:hAnsi="Times New Roman"/>
          <w:sz w:val="24"/>
          <w:szCs w:val="24"/>
        </w:rPr>
        <w:t xml:space="preserve">, face aos </w:t>
      </w:r>
      <w:r w:rsidR="009E21E1">
        <w:rPr>
          <w:rFonts w:ascii="Times New Roman" w:hAnsi="Times New Roman"/>
          <w:sz w:val="24"/>
          <w:szCs w:val="24"/>
        </w:rPr>
        <w:t>A</w:t>
      </w:r>
      <w:r w:rsidR="00316590" w:rsidRPr="001D7099">
        <w:rPr>
          <w:rFonts w:ascii="Times New Roman" w:hAnsi="Times New Roman"/>
          <w:sz w:val="24"/>
          <w:szCs w:val="24"/>
        </w:rPr>
        <w:t>grícolas</w:t>
      </w:r>
      <w:r w:rsidR="003707C1" w:rsidRPr="001D7099">
        <w:rPr>
          <w:rFonts w:ascii="Times New Roman" w:hAnsi="Times New Roman"/>
          <w:sz w:val="24"/>
          <w:szCs w:val="24"/>
        </w:rPr>
        <w:t xml:space="preserve">) </w:t>
      </w:r>
      <w:r w:rsidR="00FF41E2" w:rsidRPr="001D7099">
        <w:rPr>
          <w:rFonts w:ascii="Times New Roman" w:hAnsi="Times New Roman"/>
          <w:sz w:val="24"/>
          <w:szCs w:val="24"/>
        </w:rPr>
        <w:t xml:space="preserve">e dos salários jornaleiros não qualificados e ii) que o produto dos salários jornaleiros nacionais, com a respetiva fração ocupacional nacional, é equivalente ao somatório dos produtos dos salários jornaleiros regionais, com a respetiva </w:t>
      </w:r>
      <w:r w:rsidRPr="001D7099">
        <w:rPr>
          <w:rFonts w:ascii="Times New Roman" w:hAnsi="Times New Roman"/>
          <w:sz w:val="24"/>
          <w:szCs w:val="24"/>
        </w:rPr>
        <w:t xml:space="preserve">distribuição </w:t>
      </w:r>
      <w:r w:rsidR="00FF41E2" w:rsidRPr="001D7099">
        <w:rPr>
          <w:rFonts w:ascii="Times New Roman" w:hAnsi="Times New Roman"/>
          <w:sz w:val="24"/>
          <w:szCs w:val="24"/>
        </w:rPr>
        <w:t>ocupacional de cada região, ponderada pelo peso populacional de cada região</w:t>
      </w:r>
      <w:r w:rsidR="00DE1FA5" w:rsidRPr="001D7099">
        <w:rPr>
          <w:rStyle w:val="FootnoteReference"/>
          <w:rFonts w:ascii="Times New Roman" w:hAnsi="Times New Roman"/>
          <w:sz w:val="24"/>
          <w:szCs w:val="24"/>
        </w:rPr>
        <w:footnoteReference w:id="14"/>
      </w:r>
      <w:r w:rsidR="00FF41E2" w:rsidRPr="001D7099">
        <w:rPr>
          <w:rFonts w:ascii="Times New Roman" w:hAnsi="Times New Roman"/>
          <w:sz w:val="24"/>
          <w:szCs w:val="24"/>
        </w:rPr>
        <w:t>.</w:t>
      </w:r>
    </w:p>
    <w:p w14:paraId="31239F17" w14:textId="1813972E" w:rsidR="007773CD" w:rsidRPr="001D7099" w:rsidRDefault="007773CD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Desenvolvendo o somatório da expressão 1), obtém-se que: </w:t>
      </w:r>
    </w:p>
    <w:p w14:paraId="3E9AF81E" w14:textId="77777777" w:rsidR="007773CD" w:rsidRPr="001D7099" w:rsidRDefault="007773CD" w:rsidP="008906F1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14:paraId="5A2D6AAB" w14:textId="77777777" w:rsidR="007773CD" w:rsidRPr="001D7099" w:rsidRDefault="007773CD" w:rsidP="008906F1">
      <w:pPr>
        <w:spacing w:line="480" w:lineRule="auto"/>
        <w:ind w:left="142"/>
        <w:rPr>
          <w:rFonts w:ascii="Times New Roman" w:hAnsi="Times New Roman"/>
          <w:iCs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 xml:space="preserve">(1b)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  <m:r>
          <w:rPr>
            <w:rFonts w:ascii="Cambria Math" w:hAnsi="Cambria Math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</m:oMath>
      <w:r w:rsidRPr="001D7099">
        <w:rPr>
          <w:rFonts w:ascii="Times New Roman" w:hAnsi="Times New Roman"/>
          <w:iCs/>
          <w:sz w:val="24"/>
          <w:szCs w:val="24"/>
        </w:rPr>
        <w:t xml:space="preserve"> em que:</w:t>
      </w:r>
    </w:p>
    <w:p w14:paraId="1B61FECF" w14:textId="77777777" w:rsidR="007773CD" w:rsidRPr="001D7099" w:rsidRDefault="007773CD" w:rsidP="00694E7A">
      <w:pPr>
        <w:spacing w:line="240" w:lineRule="auto"/>
        <w:ind w:firstLine="142"/>
        <w:rPr>
          <w:rFonts w:ascii="Times New Roman" w:hAnsi="Times New Roman"/>
          <w:iCs/>
          <w:sz w:val="24"/>
          <w:szCs w:val="24"/>
        </w:rPr>
      </w:pPr>
    </w:p>
    <w:p w14:paraId="19791921" w14:textId="48617D63" w:rsidR="007773CD" w:rsidRPr="001D7099" w:rsidRDefault="00000000" w:rsidP="008906F1">
      <w:pPr>
        <w:pStyle w:val="ListParagraph"/>
        <w:numPr>
          <w:ilvl w:val="0"/>
          <w:numId w:val="9"/>
        </w:numPr>
        <w:spacing w:line="480" w:lineRule="auto"/>
        <w:ind w:left="426" w:hanging="284"/>
        <w:rPr>
          <w:rFonts w:ascii="Times New Roman" w:hAnsi="Times New Roman"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</m:oMath>
      <w:r w:rsidR="007773CD" w:rsidRPr="001D7099">
        <w:rPr>
          <w:rFonts w:ascii="Times New Roman" w:hAnsi="Times New Roman"/>
          <w:iCs/>
          <w:sz w:val="24"/>
          <w:szCs w:val="24"/>
        </w:rPr>
        <w:t xml:space="preserve"> são, respetivamente, os salários jornaleiros dos trabalhadores Urbanos, RNAG, e Agrícolas, num ano i, na região j; </w:t>
      </w:r>
    </w:p>
    <w:p w14:paraId="55C5B6DE" w14:textId="237A0BD9" w:rsidR="007773CD" w:rsidRPr="001D7099" w:rsidRDefault="00000000" w:rsidP="008906F1">
      <w:pPr>
        <w:pStyle w:val="ListParagraph"/>
        <w:numPr>
          <w:ilvl w:val="0"/>
          <w:numId w:val="9"/>
        </w:numPr>
        <w:spacing w:line="480" w:lineRule="auto"/>
        <w:ind w:left="426" w:hanging="284"/>
        <w:rPr>
          <w:rFonts w:ascii="Times New Roman" w:hAnsi="Times New Roman"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e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773CD" w:rsidRPr="001D7099">
        <w:rPr>
          <w:rFonts w:ascii="Times New Roman" w:hAnsi="Times New Roman"/>
          <w:iCs/>
          <w:sz w:val="24"/>
          <w:szCs w:val="24"/>
        </w:rPr>
        <w:t xml:space="preserve">são, respetivamente, a </w:t>
      </w:r>
      <w:r w:rsidR="007E1774" w:rsidRPr="001D7099">
        <w:rPr>
          <w:rFonts w:ascii="Times New Roman" w:hAnsi="Times New Roman"/>
          <w:iCs/>
          <w:sz w:val="24"/>
          <w:szCs w:val="24"/>
        </w:rPr>
        <w:t>fração</w:t>
      </w:r>
      <w:r w:rsidR="007773CD" w:rsidRPr="001D7099">
        <w:rPr>
          <w:rFonts w:ascii="Times New Roman" w:hAnsi="Times New Roman"/>
          <w:iCs/>
          <w:sz w:val="24"/>
          <w:szCs w:val="24"/>
        </w:rPr>
        <w:t xml:space="preserve"> da população Urbana, RNAG, e Agrícola, num ano i, na região j;</w:t>
      </w:r>
    </w:p>
    <w:p w14:paraId="5B30E220" w14:textId="1016D7CE" w:rsidR="00BF1530" w:rsidRPr="001D7099" w:rsidRDefault="00000000" w:rsidP="008906F1">
      <w:pPr>
        <w:pStyle w:val="ListParagraph"/>
        <w:numPr>
          <w:ilvl w:val="0"/>
          <w:numId w:val="9"/>
        </w:numPr>
        <w:spacing w:line="480" w:lineRule="auto"/>
        <w:ind w:left="426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e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</m:oMath>
      <w:r w:rsidR="007773CD" w:rsidRPr="001D7099">
        <w:rPr>
          <w:rFonts w:ascii="Times New Roman" w:hAnsi="Times New Roman"/>
          <w:iCs/>
          <w:sz w:val="24"/>
          <w:szCs w:val="24"/>
        </w:rPr>
        <w:t xml:space="preserve"> são, respetivamente, o input de trabalho per capita dos trabalhadores Urbanos, RNAG e Agrícolas, num ano i. </w:t>
      </w:r>
    </w:p>
    <w:p w14:paraId="5761B16E" w14:textId="483C1647" w:rsidR="0042663C" w:rsidRPr="001D7099" w:rsidRDefault="0042663C" w:rsidP="00694E7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14:paraId="3F09CC85" w14:textId="675EFE2D" w:rsidR="0042663C" w:rsidRPr="001D7099" w:rsidRDefault="0042663C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Assumindo a primeira premissa, os salários </w:t>
      </w:r>
      <w:r w:rsidR="00120A0B" w:rsidRPr="001D7099">
        <w:rPr>
          <w:rFonts w:ascii="Times New Roman" w:hAnsi="Times New Roman"/>
          <w:sz w:val="24"/>
          <w:szCs w:val="24"/>
        </w:rPr>
        <w:t>de cada categoria profissional na região i podem ser escritos apenas em função dos salários jornaleiros não qualificados e dos skill premi</w:t>
      </w:r>
      <w:r w:rsidR="00DE1FA5" w:rsidRPr="001D7099">
        <w:rPr>
          <w:rFonts w:ascii="Times New Roman" w:hAnsi="Times New Roman"/>
          <w:sz w:val="24"/>
          <w:szCs w:val="24"/>
        </w:rPr>
        <w:t>a</w:t>
      </w:r>
      <w:r w:rsidR="00120A0B" w:rsidRPr="001D7099">
        <w:rPr>
          <w:rFonts w:ascii="Times New Roman" w:hAnsi="Times New Roman"/>
          <w:sz w:val="24"/>
          <w:szCs w:val="24"/>
        </w:rPr>
        <w:t>, em cada região j, da seguinte forma:</w:t>
      </w:r>
    </w:p>
    <w:p w14:paraId="2B7CD27B" w14:textId="32679E70" w:rsidR="0042663C" w:rsidRPr="001D7099" w:rsidRDefault="0042663C" w:rsidP="00694E7A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60E84038" w14:textId="77777777" w:rsidR="00120A0B" w:rsidRPr="001D7099" w:rsidRDefault="00000000" w:rsidP="008906F1">
      <w:pPr>
        <w:pStyle w:val="ListParagraph"/>
        <w:numPr>
          <w:ilvl w:val="0"/>
          <w:numId w:val="10"/>
        </w:numPr>
        <w:spacing w:line="480" w:lineRule="auto"/>
        <w:ind w:left="851" w:hanging="283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</m:oMath>
    </w:p>
    <w:p w14:paraId="48F485E6" w14:textId="77777777" w:rsidR="00120A0B" w:rsidRPr="001D7099" w:rsidRDefault="00000000" w:rsidP="008906F1">
      <w:pPr>
        <w:pStyle w:val="ListParagraph"/>
        <w:numPr>
          <w:ilvl w:val="0"/>
          <w:numId w:val="10"/>
        </w:numPr>
        <w:spacing w:line="480" w:lineRule="auto"/>
        <w:ind w:left="851" w:hanging="283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</m:oMath>
    </w:p>
    <w:p w14:paraId="14CBF834" w14:textId="77777777" w:rsidR="0019178B" w:rsidRPr="001D7099" w:rsidRDefault="0019178B" w:rsidP="008906F1">
      <w:pPr>
        <w:spacing w:line="240" w:lineRule="auto"/>
        <w:ind w:left="143"/>
        <w:rPr>
          <w:rFonts w:ascii="Times New Roman" w:hAnsi="Times New Roman"/>
          <w:sz w:val="24"/>
          <w:szCs w:val="24"/>
        </w:rPr>
      </w:pPr>
    </w:p>
    <w:p w14:paraId="0D59ED85" w14:textId="23092F8E" w:rsidR="00120A0B" w:rsidRPr="001D7099" w:rsidRDefault="00120A0B" w:rsidP="008906F1">
      <w:pPr>
        <w:spacing w:line="480" w:lineRule="auto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Sabendo que </w:t>
      </w:r>
      <w:r w:rsidR="00DE1FA5" w:rsidRPr="001D7099">
        <w:rPr>
          <w:rFonts w:ascii="Times New Roman" w:hAnsi="Times New Roman"/>
          <w:sz w:val="24"/>
          <w:szCs w:val="24"/>
        </w:rPr>
        <w:t xml:space="preserve">foi assumido que: </w:t>
      </w:r>
    </w:p>
    <w:p w14:paraId="4DF9AF67" w14:textId="77777777" w:rsidR="00120A0B" w:rsidRPr="001D7099" w:rsidRDefault="00120A0B" w:rsidP="008906F1">
      <w:pPr>
        <w:spacing w:line="240" w:lineRule="auto"/>
        <w:ind w:left="143"/>
        <w:rPr>
          <w:rFonts w:ascii="Times New Roman" w:hAnsi="Times New Roman"/>
          <w:sz w:val="24"/>
          <w:szCs w:val="24"/>
        </w:rPr>
      </w:pPr>
    </w:p>
    <w:p w14:paraId="7ECAE312" w14:textId="77777777" w:rsidR="00120A0B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0.5 . 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j,i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</w:p>
    <w:p w14:paraId="7CA36AA4" w14:textId="77777777" w:rsidR="0042663C" w:rsidRPr="001D7099" w:rsidRDefault="0042663C" w:rsidP="00694E7A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0D62313D" w14:textId="02575F3E" w:rsidR="00F175F3" w:rsidRPr="001D7099" w:rsidRDefault="007773CD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No modelo de Palma &amp; Reis (2019), tanto a distribuição ocupacional regional da população, como o input de trabalho regional de cada categoria profissional, foram associados aos valores médios nacionais. Ou seja, foi assumido que a proporção de trabalhadores qualificados era a mesma em todas as regiões e que</w:t>
      </w:r>
      <w:r w:rsidR="00120A0B" w:rsidRPr="001D7099">
        <w:rPr>
          <w:rFonts w:ascii="Times New Roman" w:hAnsi="Times New Roman"/>
          <w:sz w:val="24"/>
          <w:szCs w:val="24"/>
        </w:rPr>
        <w:t>,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F175F3" w:rsidRPr="001D7099">
        <w:rPr>
          <w:rFonts w:ascii="Times New Roman" w:hAnsi="Times New Roman"/>
          <w:sz w:val="24"/>
          <w:szCs w:val="24"/>
        </w:rPr>
        <w:t>em todas as regiões</w:t>
      </w:r>
      <w:r w:rsidR="00120A0B" w:rsidRPr="001D7099">
        <w:rPr>
          <w:rFonts w:ascii="Times New Roman" w:hAnsi="Times New Roman"/>
          <w:sz w:val="24"/>
          <w:szCs w:val="24"/>
        </w:rPr>
        <w:t>,</w:t>
      </w:r>
      <w:r w:rsidR="00F175F3" w:rsidRPr="001D7099">
        <w:rPr>
          <w:rFonts w:ascii="Times New Roman" w:hAnsi="Times New Roman"/>
          <w:sz w:val="24"/>
          <w:szCs w:val="24"/>
        </w:rPr>
        <w:t xml:space="preserve"> o input de trabalho seguia a variação nacional.  Assim, a expressão 1b) pode ser simplificada transformando a estrutura ocupacional e input de trabalho, a nível regional, num único fator nacional (L) por categoria profissional: </w:t>
      </w:r>
    </w:p>
    <w:p w14:paraId="0B07A64A" w14:textId="32DA6EE3" w:rsidR="00F175F3" w:rsidRPr="001D7099" w:rsidRDefault="00F175F3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36FC1ECE" w14:textId="77777777" w:rsidR="00F175F3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</m:oMath>
    </w:p>
    <w:p w14:paraId="013690F8" w14:textId="77777777" w:rsidR="00F175F3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</m:oMath>
    </w:p>
    <w:p w14:paraId="25641C30" w14:textId="5CF4A265" w:rsidR="00F175F3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</m:oMath>
    </w:p>
    <w:p w14:paraId="3006D69B" w14:textId="77777777" w:rsidR="00C17120" w:rsidRPr="001D7099" w:rsidRDefault="00C17120" w:rsidP="008906F1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14:paraId="34ADDE1A" w14:textId="2950F604" w:rsidR="00F175F3" w:rsidRPr="001D7099" w:rsidRDefault="0042663C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Desta forma, a única variável regional da expressão 1b) são os salários jornaleiros de cada categoria profissional</w:t>
      </w:r>
      <w:r w:rsidR="003951D6" w:rsidRPr="001D7099">
        <w:rPr>
          <w:rFonts w:ascii="Times New Roman" w:hAnsi="Times New Roman"/>
          <w:sz w:val="24"/>
          <w:szCs w:val="24"/>
        </w:rPr>
        <w:t xml:space="preserve">. </w:t>
      </w:r>
      <w:r w:rsidR="009E21E1">
        <w:rPr>
          <w:rFonts w:ascii="Times New Roman" w:hAnsi="Times New Roman"/>
          <w:sz w:val="24"/>
          <w:szCs w:val="24"/>
        </w:rPr>
        <w:t>P</w:t>
      </w:r>
      <w:r w:rsidR="003951D6" w:rsidRPr="001D7099">
        <w:rPr>
          <w:rFonts w:ascii="Times New Roman" w:hAnsi="Times New Roman"/>
          <w:sz w:val="24"/>
          <w:szCs w:val="24"/>
        </w:rPr>
        <w:t>ara a transformar numa equivalência nacional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DE1FA5" w:rsidRPr="001D7099">
        <w:rPr>
          <w:rFonts w:ascii="Times New Roman" w:hAnsi="Times New Roman"/>
          <w:sz w:val="24"/>
          <w:szCs w:val="24"/>
        </w:rPr>
        <w:t>é necessário recorrer ao segundo pressuposto:</w:t>
      </w:r>
      <w:r w:rsidR="003951D6" w:rsidRPr="001D7099">
        <w:rPr>
          <w:rFonts w:ascii="Times New Roman" w:hAnsi="Times New Roman"/>
          <w:sz w:val="24"/>
          <w:szCs w:val="24"/>
        </w:rPr>
        <w:t xml:space="preserve"> o somatório dos contributos dos salários jornaleiros é equivalente aos salários jornaleiros nacionais ponderados</w:t>
      </w:r>
      <w:r w:rsidR="00DE1FA5" w:rsidRPr="001D7099">
        <w:rPr>
          <w:rFonts w:ascii="Times New Roman" w:hAnsi="Times New Roman"/>
          <w:sz w:val="24"/>
          <w:szCs w:val="24"/>
        </w:rPr>
        <w:t>.</w:t>
      </w:r>
      <w:r w:rsidR="003951D6" w:rsidRPr="001D7099">
        <w:rPr>
          <w:rFonts w:ascii="Times New Roman" w:hAnsi="Times New Roman"/>
          <w:sz w:val="24"/>
          <w:szCs w:val="24"/>
        </w:rPr>
        <w:t xml:space="preserve"> </w:t>
      </w:r>
      <w:r w:rsidR="00DE1FA5" w:rsidRPr="001D7099">
        <w:rPr>
          <w:rFonts w:ascii="Times New Roman" w:hAnsi="Times New Roman"/>
          <w:sz w:val="24"/>
          <w:szCs w:val="24"/>
        </w:rPr>
        <w:t>Uma vez que não foi considerada diferenciação regional para estrutura ocupacional da populacional ou para o input de trabalho, esse pressuposto</w:t>
      </w:r>
      <w:r w:rsidR="009E21E1">
        <w:rPr>
          <w:rFonts w:ascii="Times New Roman" w:hAnsi="Times New Roman"/>
          <w:sz w:val="24"/>
          <w:szCs w:val="24"/>
        </w:rPr>
        <w:t xml:space="preserve">, em grande medida, é aderente à metodologia original. </w:t>
      </w:r>
      <w:r w:rsidR="003951D6" w:rsidRPr="001D7099">
        <w:rPr>
          <w:rFonts w:ascii="Times New Roman" w:hAnsi="Times New Roman"/>
          <w:sz w:val="24"/>
          <w:szCs w:val="24"/>
        </w:rPr>
        <w:t>Ou seja:</w:t>
      </w:r>
      <w:r w:rsidR="00F175F3" w:rsidRPr="001D7099">
        <w:rPr>
          <w:rFonts w:ascii="Times New Roman" w:hAnsi="Times New Roman"/>
          <w:sz w:val="24"/>
          <w:szCs w:val="24"/>
        </w:rPr>
        <w:t xml:space="preserve"> </w:t>
      </w:r>
    </w:p>
    <w:p w14:paraId="0D2E5780" w14:textId="77777777" w:rsidR="00F175F3" w:rsidRPr="001D7099" w:rsidRDefault="00F175F3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45DF8AFD" w14:textId="5F540EF0" w:rsidR="00F175F3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426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j,i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j,i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sup>
                </m:sSubSup>
              </m:e>
            </m:nary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</m:oMath>
    </w:p>
    <w:p w14:paraId="0C346F8E" w14:textId="1D196DFE" w:rsidR="003951D6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426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j,i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j,i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rna</m:t>
                    </m:r>
                  </m:sup>
                </m:sSubSup>
              </m:e>
            </m:nary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n,i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</m:oMath>
    </w:p>
    <w:p w14:paraId="52A8594D" w14:textId="09B7749F" w:rsidR="003951D6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426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j,i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j,i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ag</m:t>
                    </m:r>
                  </m:sup>
                </m:sSubSup>
              </m:e>
            </m:nary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</m:oMath>
    </w:p>
    <w:p w14:paraId="5F8798B7" w14:textId="67A742EB" w:rsidR="00F175F3" w:rsidRPr="001D7099" w:rsidRDefault="00F175F3" w:rsidP="008906F1">
      <w:pPr>
        <w:spacing w:line="240" w:lineRule="auto"/>
        <w:ind w:left="143"/>
        <w:rPr>
          <w:rFonts w:ascii="Times New Roman" w:hAnsi="Times New Roman"/>
          <w:sz w:val="24"/>
          <w:szCs w:val="24"/>
        </w:rPr>
      </w:pPr>
    </w:p>
    <w:p w14:paraId="12C41DC9" w14:textId="048D85DE" w:rsidR="00BB0A1E" w:rsidRPr="001D7099" w:rsidRDefault="00000000" w:rsidP="008906F1">
      <w:pPr>
        <w:pStyle w:val="ListParagraph"/>
        <w:numPr>
          <w:ilvl w:val="0"/>
          <w:numId w:val="9"/>
        </w:numPr>
        <w:spacing w:line="480" w:lineRule="auto"/>
        <w:ind w:left="426" w:hanging="284"/>
        <w:rPr>
          <w:rFonts w:ascii="Times New Roman" w:hAnsi="Times New Roman"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e</m:t>
        </m:r>
        <m:r>
          <w:rPr>
            <w:rFonts w:ascii="Cambria Math" w:hAnsi="Cambria Math"/>
            <w:sz w:val="24"/>
            <w:szCs w:val="24"/>
          </w:rPr>
          <m:t xml:space="preserve"> 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</m:oMath>
      <w:r w:rsidR="00BB0A1E" w:rsidRPr="001D7099">
        <w:rPr>
          <w:rFonts w:ascii="Times New Roman" w:hAnsi="Times New Roman"/>
          <w:iCs/>
          <w:sz w:val="24"/>
          <w:szCs w:val="24"/>
        </w:rPr>
        <w:t xml:space="preserve"> são, respetivamente, os skill premia dos salários jornaleiros dos trabalhadores Urbanos, e dos trabalhadores RNAG, face aos trabalhadores Agrícolas, num ano i, na região j; </w:t>
      </w:r>
    </w:p>
    <w:p w14:paraId="147D303E" w14:textId="77777777" w:rsidR="00D55BC9" w:rsidRPr="001D7099" w:rsidRDefault="00D55BC9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16BF2D75" w14:textId="07D5A455" w:rsidR="009B64AE" w:rsidRPr="001D7099" w:rsidRDefault="009B64AE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É, assim, possível escrever </w:t>
      </w:r>
      <w:r w:rsidR="004D5C76" w:rsidRPr="001D7099">
        <w:rPr>
          <w:rFonts w:ascii="Times New Roman" w:hAnsi="Times New Roman"/>
          <w:sz w:val="24"/>
          <w:szCs w:val="24"/>
        </w:rPr>
        <w:t xml:space="preserve">analiticamente </w:t>
      </w:r>
      <w:r w:rsidRPr="001D7099">
        <w:rPr>
          <w:rFonts w:ascii="Times New Roman" w:hAnsi="Times New Roman"/>
          <w:sz w:val="24"/>
          <w:szCs w:val="24"/>
        </w:rPr>
        <w:t>a variação do ISR apenas em função dos salários jornaleiros não qualificados (w</w:t>
      </w:r>
      <w:r w:rsidRPr="001D7099">
        <w:rPr>
          <w:rFonts w:ascii="Times New Roman" w:hAnsi="Times New Roman"/>
          <w:sz w:val="24"/>
          <w:szCs w:val="24"/>
          <w:vertAlign w:val="superscript"/>
        </w:rPr>
        <w:t>nq</w:t>
      </w:r>
      <w:r w:rsidRPr="001D7099">
        <w:rPr>
          <w:rFonts w:ascii="Times New Roman" w:hAnsi="Times New Roman"/>
          <w:sz w:val="24"/>
          <w:szCs w:val="24"/>
        </w:rPr>
        <w:t xml:space="preserve">), do skill premium (S) e de um fator de trabalho (L), incorporando a estrutura ocupacional e input de trabalho.  </w:t>
      </w:r>
    </w:p>
    <w:p w14:paraId="6AB31402" w14:textId="77777777" w:rsidR="00F175F3" w:rsidRPr="001D7099" w:rsidRDefault="00F175F3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7313907A" w14:textId="27E7F445" w:rsidR="00F175F3" w:rsidRPr="001D7099" w:rsidRDefault="00F175F3" w:rsidP="008906F1">
      <w:pPr>
        <w:spacing w:line="480" w:lineRule="auto"/>
        <w:ind w:left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>(1</w:t>
      </w:r>
      <w:r w:rsidR="009B64AE" w:rsidRPr="001D7099">
        <w:rPr>
          <w:rFonts w:ascii="Times New Roman" w:hAnsi="Times New Roman"/>
          <w:iCs/>
          <w:sz w:val="24"/>
          <w:szCs w:val="24"/>
        </w:rPr>
        <w:t>c</w:t>
      </w:r>
      <w:r w:rsidRPr="001D7099">
        <w:rPr>
          <w:rFonts w:ascii="Times New Roman" w:hAnsi="Times New Roman"/>
          <w:iCs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. (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w:rPr>
            <w:rFonts w:ascii="Cambria Math" w:hAnsi="Cambria Math"/>
            <w:sz w:val="24"/>
            <w:szCs w:val="24"/>
          </w:rPr>
          <m:t>.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w:rPr>
            <w:rFonts w:ascii="Cambria Math" w:hAnsi="Cambria Math"/>
            <w:sz w:val="24"/>
            <w:szCs w:val="24"/>
          </w:rPr>
          <m:t>)</m:t>
        </m:r>
      </m:oMath>
      <w:r w:rsidRPr="001D7099">
        <w:rPr>
          <w:rFonts w:ascii="Times New Roman" w:hAnsi="Times New Roman"/>
          <w:sz w:val="24"/>
          <w:szCs w:val="24"/>
        </w:rPr>
        <w:t xml:space="preserve"> </w:t>
      </w:r>
    </w:p>
    <w:p w14:paraId="3D000503" w14:textId="6B01E8E5" w:rsidR="007773CD" w:rsidRPr="001D7099" w:rsidRDefault="007773CD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2409CC76" w14:textId="77777777" w:rsidR="00DE1FA5" w:rsidRPr="001D7099" w:rsidRDefault="00C17120" w:rsidP="008906F1">
      <w:pPr>
        <w:spacing w:line="480" w:lineRule="auto"/>
        <w:ind w:firstLine="142"/>
        <w:rPr>
          <w:rFonts w:ascii="Times New Roman" w:hAnsi="Times New Roman"/>
          <w:iCs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Os termos</w:t>
      </w:r>
      <w:r w:rsidRPr="001D7099">
        <w:rPr>
          <w:rFonts w:ascii="Times New Roman" w:hAnsi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</m:sSub>
      </m:oMath>
      <w:r w:rsidRPr="001D7099">
        <w:rPr>
          <w:rFonts w:ascii="Times New Roman" w:hAnsi="Times New Roman"/>
          <w:iCs/>
          <w:sz w:val="24"/>
          <w:szCs w:val="24"/>
        </w:rPr>
        <w:t xml:space="preserve"> referentes à estrutura ocupacional e input de trabalho são conhecidos para toda a cronologia. O primeiro a partir da distribuição ocupacional da população estimada no Anexo I (integrando os dados a cada meio século de Palma &amp; Reis) e o segundo através de uma interpolação linear dos valores propostos para cada categoria profissional no início e no fim da cronologia</w:t>
      </w:r>
      <w:r w:rsidR="00DE1FA5" w:rsidRPr="001D7099">
        <w:rPr>
          <w:rStyle w:val="FootnoteReference"/>
          <w:rFonts w:ascii="Times New Roman" w:hAnsi="Times New Roman"/>
          <w:iCs/>
          <w:sz w:val="24"/>
          <w:szCs w:val="24"/>
        </w:rPr>
        <w:footnoteReference w:id="15"/>
      </w:r>
      <w:r w:rsidRPr="001D7099">
        <w:rPr>
          <w:rFonts w:ascii="Times New Roman" w:hAnsi="Times New Roman"/>
          <w:iCs/>
          <w:sz w:val="24"/>
          <w:szCs w:val="24"/>
        </w:rPr>
        <w:t xml:space="preserve">. </w:t>
      </w:r>
    </w:p>
    <w:p w14:paraId="18CC8122" w14:textId="5E4F7ABB" w:rsidR="003A6497" w:rsidRPr="001D7099" w:rsidRDefault="003A6497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 xml:space="preserve">A obtenção de uma série anual de skill premium médio nacional (termo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</m:sSub>
      </m:oMath>
      <w:r w:rsidRPr="001D7099">
        <w:rPr>
          <w:rFonts w:ascii="Times New Roman" w:hAnsi="Times New Roman"/>
          <w:iCs/>
          <w:sz w:val="24"/>
          <w:szCs w:val="24"/>
        </w:rPr>
        <w:t>) é mais problemática dado que as fontes não apresentam uma representatividade homogénea. A metodologia seguida na determinação da série de skill premium nacional, recorrendo às fontes de salários agregadas no PWR, é apresentada no Anexo II</w:t>
      </w:r>
      <w:r w:rsidR="000346C2" w:rsidRPr="001D7099">
        <w:rPr>
          <w:rFonts w:ascii="Times New Roman" w:hAnsi="Times New Roman"/>
          <w:iCs/>
          <w:sz w:val="24"/>
          <w:szCs w:val="24"/>
        </w:rPr>
        <w:t>I</w:t>
      </w:r>
      <w:r w:rsidRPr="001D7099">
        <w:rPr>
          <w:rFonts w:ascii="Times New Roman" w:hAnsi="Times New Roman"/>
          <w:iCs/>
          <w:sz w:val="24"/>
          <w:szCs w:val="24"/>
        </w:rPr>
        <w:t xml:space="preserve"> (cf. </w:t>
      </w:r>
      <w:r w:rsidR="000346C2" w:rsidRPr="001D7099">
        <w:rPr>
          <w:rFonts w:ascii="Times New Roman" w:hAnsi="Times New Roman"/>
          <w:iCs/>
          <w:sz w:val="24"/>
          <w:szCs w:val="24"/>
        </w:rPr>
        <w:fldChar w:fldCharType="begin"/>
      </w:r>
      <w:r w:rsidR="000346C2" w:rsidRPr="001D7099">
        <w:rPr>
          <w:rFonts w:ascii="Times New Roman" w:hAnsi="Times New Roman"/>
          <w:iCs/>
          <w:sz w:val="24"/>
          <w:szCs w:val="24"/>
        </w:rPr>
        <w:instrText xml:space="preserve"> REF _Ref133331337 \r \h </w:instrText>
      </w:r>
      <w:r w:rsidR="00DC2034" w:rsidRPr="001D7099">
        <w:rPr>
          <w:rFonts w:ascii="Times New Roman" w:hAnsi="Times New Roman"/>
          <w:iCs/>
          <w:sz w:val="24"/>
          <w:szCs w:val="24"/>
        </w:rPr>
        <w:instrText xml:space="preserve"> \* MERGEFORMAT </w:instrText>
      </w:r>
      <w:r w:rsidR="000346C2" w:rsidRPr="001D7099">
        <w:rPr>
          <w:rFonts w:ascii="Times New Roman" w:hAnsi="Times New Roman"/>
          <w:iCs/>
          <w:sz w:val="24"/>
          <w:szCs w:val="24"/>
        </w:rPr>
      </w:r>
      <w:r w:rsidR="000346C2" w:rsidRPr="001D7099">
        <w:rPr>
          <w:rFonts w:ascii="Times New Roman" w:hAnsi="Times New Roman"/>
          <w:iCs/>
          <w:sz w:val="24"/>
          <w:szCs w:val="24"/>
        </w:rPr>
        <w:fldChar w:fldCharType="separate"/>
      </w:r>
      <w:r w:rsidR="00F535A2" w:rsidRPr="001D7099">
        <w:rPr>
          <w:rFonts w:ascii="Times New Roman" w:hAnsi="Times New Roman"/>
          <w:iCs/>
          <w:sz w:val="24"/>
          <w:szCs w:val="24"/>
        </w:rPr>
        <w:t>7.3</w:t>
      </w:r>
      <w:r w:rsidR="000346C2" w:rsidRPr="001D7099">
        <w:rPr>
          <w:rFonts w:ascii="Times New Roman" w:hAnsi="Times New Roman"/>
          <w:iCs/>
          <w:sz w:val="24"/>
          <w:szCs w:val="24"/>
        </w:rPr>
        <w:fldChar w:fldCharType="end"/>
      </w:r>
      <w:r w:rsidR="000346C2" w:rsidRPr="001D7099">
        <w:rPr>
          <w:rFonts w:ascii="Times New Roman" w:hAnsi="Times New Roman"/>
          <w:iCs/>
          <w:sz w:val="24"/>
          <w:szCs w:val="24"/>
        </w:rPr>
        <w:t>)</w:t>
      </w:r>
      <w:r w:rsidR="00DE1FA5" w:rsidRPr="001D7099">
        <w:rPr>
          <w:rFonts w:ascii="Times New Roman" w:hAnsi="Times New Roman"/>
          <w:iCs/>
          <w:sz w:val="24"/>
          <w:szCs w:val="24"/>
        </w:rPr>
        <w:t>.</w:t>
      </w:r>
      <w:r w:rsidRPr="001D7099">
        <w:rPr>
          <w:rFonts w:ascii="Times New Roman" w:hAnsi="Times New Roman"/>
          <w:iCs/>
          <w:sz w:val="24"/>
          <w:szCs w:val="24"/>
        </w:rPr>
        <w:t xml:space="preserve"> Em todo o caso, deve salientar-se que </w:t>
      </w:r>
      <w:r w:rsidRPr="001D7099">
        <w:rPr>
          <w:rFonts w:ascii="Times New Roman" w:hAnsi="Times New Roman"/>
          <w:sz w:val="24"/>
          <w:szCs w:val="24"/>
        </w:rPr>
        <w:t xml:space="preserve">Palma &amp; Reis </w:t>
      </w:r>
      <w:r w:rsidR="009E21E1">
        <w:rPr>
          <w:rFonts w:ascii="Times New Roman" w:hAnsi="Times New Roman"/>
          <w:sz w:val="24"/>
          <w:szCs w:val="24"/>
        </w:rPr>
        <w:t>(</w:t>
      </w:r>
      <w:r w:rsidR="009E21E1" w:rsidRPr="001D7099">
        <w:rPr>
          <w:rFonts w:ascii="Times New Roman" w:hAnsi="Times New Roman"/>
          <w:iCs/>
          <w:sz w:val="24"/>
          <w:szCs w:val="24"/>
        </w:rPr>
        <w:t>2019, 488)</w:t>
      </w:r>
      <w:r w:rsidR="009E21E1">
        <w:rPr>
          <w:rFonts w:ascii="Times New Roman" w:hAnsi="Times New Roman"/>
          <w:iCs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>indicam que o skill premium não registou alterações significativas durante toda a cronologia estudada</w:t>
      </w:r>
      <w:r w:rsidR="009E21E1">
        <w:rPr>
          <w:rFonts w:ascii="Times New Roman" w:hAnsi="Times New Roman"/>
          <w:sz w:val="24"/>
          <w:szCs w:val="24"/>
        </w:rPr>
        <w:t>.</w:t>
      </w:r>
      <w:r w:rsidR="000346C2" w:rsidRPr="001D7099">
        <w:rPr>
          <w:rFonts w:ascii="Times New Roman" w:hAnsi="Times New Roman"/>
          <w:sz w:val="24"/>
          <w:szCs w:val="24"/>
        </w:rPr>
        <w:t xml:space="preserve"> Obtendo uma série contínua de skill premium, é possível conhecer a contribuição de cada categoria profissional para a formação do ISR</w:t>
      </w:r>
      <w:r w:rsidR="001907C1" w:rsidRPr="001D7099">
        <w:rPr>
          <w:rFonts w:ascii="Times New Roman" w:hAnsi="Times New Roman"/>
          <w:sz w:val="24"/>
          <w:szCs w:val="24"/>
        </w:rPr>
        <w:t xml:space="preserve"> durante toda a cronologia.</w:t>
      </w:r>
      <w:r w:rsidR="000346C2" w:rsidRPr="001D7099">
        <w:rPr>
          <w:rFonts w:ascii="Times New Roman" w:hAnsi="Times New Roman"/>
          <w:sz w:val="24"/>
          <w:szCs w:val="24"/>
        </w:rPr>
        <w:t xml:space="preserve">  </w:t>
      </w:r>
    </w:p>
    <w:p w14:paraId="3F2FF4EA" w14:textId="17945B8A" w:rsidR="00C55D34" w:rsidRPr="001D7099" w:rsidRDefault="00C55D34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lastRenderedPageBreak/>
        <w:t xml:space="preserve">É </w:t>
      </w:r>
      <w:r w:rsidR="000346C2" w:rsidRPr="001D7099">
        <w:rPr>
          <w:rFonts w:ascii="Times New Roman" w:hAnsi="Times New Roman"/>
          <w:sz w:val="24"/>
          <w:szCs w:val="24"/>
        </w:rPr>
        <w:t xml:space="preserve">também possível </w:t>
      </w:r>
      <w:r w:rsidRPr="001D7099">
        <w:rPr>
          <w:rFonts w:ascii="Times New Roman" w:hAnsi="Times New Roman"/>
          <w:sz w:val="24"/>
          <w:szCs w:val="24"/>
        </w:rPr>
        <w:t>aplicar a expressão 1c) em dois pontos cronológicos e</w:t>
      </w:r>
      <w:r w:rsidR="004D5C76" w:rsidRPr="001D7099"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 xml:space="preserve">medir a contribuição autónoma para o ISR, da variação dos salários jornaleiros e da estrutura do trabalho (estrutura ocupacional e input de trabalho). </w:t>
      </w:r>
      <w:r w:rsidRPr="001D7099">
        <w:rPr>
          <w:rFonts w:ascii="Times New Roman" w:hAnsi="Times New Roman"/>
          <w:iCs/>
          <w:sz w:val="24"/>
          <w:szCs w:val="24"/>
        </w:rPr>
        <w:t xml:space="preserve">Para um dado intervalo entre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i=1</m:t>
        </m:r>
      </m:oMath>
      <w:r w:rsidRPr="001D7099">
        <w:rPr>
          <w:rFonts w:ascii="Times New Roman" w:hAnsi="Times New Roman"/>
          <w:iCs/>
          <w:sz w:val="24"/>
          <w:szCs w:val="24"/>
        </w:rPr>
        <w:t xml:space="preserve"> 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i=2</m:t>
        </m:r>
      </m:oMath>
      <w:r w:rsidRPr="001D7099">
        <w:rPr>
          <w:rFonts w:ascii="Times New Roman" w:hAnsi="Times New Roman"/>
          <w:sz w:val="24"/>
          <w:szCs w:val="24"/>
        </w:rPr>
        <w:t xml:space="preserve">, </w:t>
      </w:r>
      <w:r w:rsidRPr="001D7099">
        <w:rPr>
          <w:rFonts w:ascii="Times New Roman" w:hAnsi="Times New Roman"/>
          <w:iCs/>
          <w:sz w:val="24"/>
          <w:szCs w:val="24"/>
        </w:rPr>
        <w:t xml:space="preserve">a expressão 1c) toma a forma: </w:t>
      </w:r>
    </w:p>
    <w:p w14:paraId="2DD395E4" w14:textId="5691418D" w:rsidR="00C55D34" w:rsidRPr="001D7099" w:rsidRDefault="00C55D34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202C46CC" w14:textId="77777777" w:rsidR="00C55D34" w:rsidRPr="001D7099" w:rsidRDefault="00C55D34" w:rsidP="008906F1">
      <w:pPr>
        <w:pStyle w:val="ListParagraph"/>
        <w:numPr>
          <w:ilvl w:val="0"/>
          <w:numId w:val="11"/>
        </w:numPr>
        <w:spacing w:line="480" w:lineRule="auto"/>
        <w:ind w:left="426" w:hanging="284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i=1</m:t>
        </m:r>
        <m:r>
          <w:rPr>
            <w:rFonts w:ascii="Cambria Math" w:hAnsi="Cambria Math"/>
            <w:sz w:val="24"/>
            <w:szCs w:val="24"/>
          </w:rPr>
          <m:t xml:space="preserve"> =&gt;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. (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</w:p>
    <w:p w14:paraId="292A2059" w14:textId="737CC54E" w:rsidR="00C55D34" w:rsidRPr="001D7099" w:rsidRDefault="00C55D34" w:rsidP="008906F1">
      <w:pPr>
        <w:pStyle w:val="ListParagraph"/>
        <w:numPr>
          <w:ilvl w:val="0"/>
          <w:numId w:val="11"/>
        </w:numPr>
        <w:spacing w:line="480" w:lineRule="auto"/>
        <w:ind w:left="426" w:hanging="284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i=2</m:t>
        </m:r>
        <m:r>
          <w:rPr>
            <w:rFonts w:ascii="Cambria Math" w:hAnsi="Cambria Math"/>
            <w:sz w:val="24"/>
            <w:szCs w:val="24"/>
          </w:rPr>
          <m:t xml:space="preserve"> =&gt;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. (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</w:p>
    <w:p w14:paraId="28DC3EFC" w14:textId="7F4D69A6" w:rsidR="003A6497" w:rsidRPr="001D7099" w:rsidRDefault="003A6497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2D548406" w14:textId="58617B11" w:rsidR="00C55D34" w:rsidRPr="001D7099" w:rsidRDefault="00C55D34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 xml:space="preserve">A variação do ISR entre dois pontos cronológicos é dada pelo quociente entre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</m:sSub>
      </m:oMath>
      <w:r w:rsidRPr="001D7099">
        <w:rPr>
          <w:rFonts w:ascii="Times New Roman" w:hAnsi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  <w:r w:rsidRPr="001D7099">
        <w:rPr>
          <w:rFonts w:ascii="Times New Roman" w:hAnsi="Times New Roman"/>
          <w:sz w:val="24"/>
          <w:szCs w:val="24"/>
        </w:rPr>
        <w:t xml:space="preserve"> Ou seja:</w:t>
      </w:r>
    </w:p>
    <w:p w14:paraId="1E599766" w14:textId="77777777" w:rsidR="00C55D34" w:rsidRPr="001D7099" w:rsidRDefault="00C55D34" w:rsidP="008906F1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6E11E6E3" w14:textId="50D5A756" w:rsidR="00C55D34" w:rsidRPr="001D7099" w:rsidRDefault="00C55D34" w:rsidP="008906F1">
      <w:pPr>
        <w:spacing w:line="480" w:lineRule="auto"/>
        <w:ind w:left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 xml:space="preserve">(1d)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nq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nq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</w:rPr>
          <m:t xml:space="preserve"> .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. 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ag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. 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ag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</w:p>
    <w:p w14:paraId="216FFF81" w14:textId="77777777" w:rsidR="00C55D34" w:rsidRPr="001D7099" w:rsidRDefault="00C55D34" w:rsidP="00694E7A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14:paraId="0F11AB82" w14:textId="06A6EBCD" w:rsidR="00C55D34" w:rsidRPr="001D7099" w:rsidRDefault="00C55D34" w:rsidP="008906F1">
      <w:pPr>
        <w:spacing w:line="480" w:lineRule="auto"/>
        <w:ind w:firstLine="142"/>
        <w:rPr>
          <w:rFonts w:ascii="Times New Roman" w:hAnsi="Times New Roman"/>
          <w:iCs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Ou seja, se, para um dado intervalo cronológico, os salários jornaleiros não se alterarem, o ISR irá variar proporcionalmente ao segundo termo da expressão 1d), designado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  <w:r w:rsidRPr="001D7099">
        <w:rPr>
          <w:rFonts w:ascii="Times New Roman" w:hAnsi="Times New Roman"/>
          <w:iCs/>
          <w:sz w:val="24"/>
          <w:szCs w:val="24"/>
        </w:rPr>
        <w:t xml:space="preserve"> </w:t>
      </w:r>
    </w:p>
    <w:p w14:paraId="77E2AC1F" w14:textId="00F0D3F0" w:rsidR="00C55D34" w:rsidRPr="001D7099" w:rsidRDefault="00C55D34" w:rsidP="00694E7A">
      <w:pPr>
        <w:spacing w:line="240" w:lineRule="auto"/>
        <w:ind w:firstLine="142"/>
        <w:rPr>
          <w:rFonts w:ascii="Times New Roman" w:hAnsi="Times New Roman"/>
          <w:iCs/>
          <w:sz w:val="24"/>
          <w:szCs w:val="24"/>
        </w:rPr>
      </w:pPr>
    </w:p>
    <w:p w14:paraId="15D81A0B" w14:textId="0781FEC1" w:rsidR="00C55D34" w:rsidRPr="001D7099" w:rsidRDefault="00000000" w:rsidP="008906F1">
      <w:pPr>
        <w:spacing w:line="480" w:lineRule="auto"/>
        <w:ind w:left="142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 w:rsidR="00C55D34" w:rsidRPr="001D7099">
        <w:rPr>
          <w:rFonts w:ascii="Times New Roman" w:hAnsi="Times New Roman"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. 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ag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. 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ag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</w:p>
    <w:p w14:paraId="31FF4261" w14:textId="77777777" w:rsidR="00C55D34" w:rsidRPr="001D7099" w:rsidRDefault="00C55D34" w:rsidP="00694E7A">
      <w:pPr>
        <w:spacing w:line="240" w:lineRule="auto"/>
        <w:ind w:firstLine="142"/>
        <w:rPr>
          <w:rFonts w:ascii="Times New Roman" w:hAnsi="Times New Roman"/>
          <w:iCs/>
          <w:sz w:val="24"/>
          <w:szCs w:val="24"/>
        </w:rPr>
      </w:pPr>
    </w:p>
    <w:p w14:paraId="60A9C1AB" w14:textId="3458A7F6" w:rsidR="00C55D34" w:rsidRPr="001D7099" w:rsidRDefault="001907C1" w:rsidP="008906F1">
      <w:pPr>
        <w:spacing w:line="480" w:lineRule="auto"/>
        <w:ind w:firstLine="142"/>
        <w:rPr>
          <w:rFonts w:ascii="Times New Roman" w:hAnsi="Times New Roman"/>
          <w:iCs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>Por outro lado, q</w:t>
      </w:r>
      <w:r w:rsidR="00C55D34" w:rsidRPr="001D7099">
        <w:rPr>
          <w:rFonts w:ascii="Times New Roman" w:hAnsi="Times New Roman"/>
          <w:iCs/>
          <w:sz w:val="24"/>
          <w:szCs w:val="24"/>
        </w:rPr>
        <w:t>ualquer variação dos salários jornaleiros</w:t>
      </w:r>
      <w:r w:rsidR="00C55D34" w:rsidRPr="001D7099">
        <w:rPr>
          <w:rFonts w:ascii="Times New Roman" w:hAnsi="Times New Roman"/>
          <w:sz w:val="24"/>
          <w:szCs w:val="24"/>
        </w:rPr>
        <w:t xml:space="preserve"> terá um impacto no ISR proporcional ao produto dessa variação com o fator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</m:oMath>
      <w:r w:rsidRPr="001D7099">
        <w:rPr>
          <w:rFonts w:ascii="Times New Roman" w:hAnsi="Times New Roman"/>
          <w:iCs/>
          <w:sz w:val="24"/>
          <w:szCs w:val="24"/>
        </w:rPr>
        <w:t>, pelo que é possível testar diferentes cenários de SJ na evolução do IS</w:t>
      </w:r>
      <w:r w:rsidR="004D5C76" w:rsidRPr="001D7099">
        <w:rPr>
          <w:rFonts w:ascii="Times New Roman" w:hAnsi="Times New Roman"/>
          <w:iCs/>
          <w:sz w:val="24"/>
          <w:szCs w:val="24"/>
        </w:rPr>
        <w:t>R</w:t>
      </w:r>
      <w:r w:rsidRPr="001D7099">
        <w:rPr>
          <w:rFonts w:ascii="Times New Roman" w:hAnsi="Times New Roman"/>
          <w:iCs/>
          <w:sz w:val="24"/>
          <w:szCs w:val="24"/>
        </w:rPr>
        <w:t>. É</w:t>
      </w:r>
      <w:r w:rsidR="00C55D34" w:rsidRPr="001D7099">
        <w:rPr>
          <w:rFonts w:ascii="Times New Roman" w:hAnsi="Times New Roman"/>
          <w:iCs/>
          <w:sz w:val="24"/>
          <w:szCs w:val="24"/>
        </w:rPr>
        <w:t xml:space="preserve"> </w:t>
      </w:r>
      <w:r w:rsidRPr="001D7099">
        <w:rPr>
          <w:rFonts w:ascii="Times New Roman" w:hAnsi="Times New Roman"/>
          <w:iCs/>
          <w:sz w:val="24"/>
          <w:szCs w:val="24"/>
        </w:rPr>
        <w:t xml:space="preserve">também </w:t>
      </w:r>
      <w:r w:rsidR="00C55D34" w:rsidRPr="001D7099">
        <w:rPr>
          <w:rFonts w:ascii="Times New Roman" w:hAnsi="Times New Roman"/>
          <w:iCs/>
          <w:sz w:val="24"/>
          <w:szCs w:val="24"/>
        </w:rPr>
        <w:t xml:space="preserve">possível separar o efeito da estrutura ocupacional da população do efeito do input de trabalho, recalculando o fator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C55D34" w:rsidRPr="001D7099">
        <w:rPr>
          <w:rFonts w:ascii="Times New Roman" w:hAnsi="Times New Roman"/>
          <w:iCs/>
          <w:sz w:val="24"/>
          <w:szCs w:val="24"/>
        </w:rPr>
        <w:t>assumindo que não ocorre variação do input de trabalho entre os dois pontos cronológicos em análise, para cada categoria profissional, ou seja:</w:t>
      </w:r>
    </w:p>
    <w:p w14:paraId="6B779F3D" w14:textId="77777777" w:rsidR="00C55D34" w:rsidRPr="001D7099" w:rsidRDefault="00C55D34" w:rsidP="008906F1">
      <w:pPr>
        <w:spacing w:line="240" w:lineRule="auto"/>
        <w:ind w:firstLine="142"/>
        <w:rPr>
          <w:rFonts w:ascii="Times New Roman" w:hAnsi="Times New Roman"/>
          <w:iCs/>
          <w:sz w:val="24"/>
          <w:szCs w:val="24"/>
        </w:rPr>
      </w:pPr>
    </w:p>
    <w:p w14:paraId="6724CEB6" w14:textId="77777777" w:rsidR="00C55D34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</m:oMath>
    </w:p>
    <w:p w14:paraId="0A1AF729" w14:textId="77777777" w:rsidR="00C55D34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</m:oMath>
    </w:p>
    <w:p w14:paraId="4788879B" w14:textId="77777777" w:rsidR="00C55D34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</m:oMath>
    </w:p>
    <w:p w14:paraId="2DD11ABA" w14:textId="77777777" w:rsidR="00C55D34" w:rsidRPr="001D7099" w:rsidRDefault="00C55D34" w:rsidP="00694E7A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1EC478B3" w14:textId="4CB5967F" w:rsidR="005F1349" w:rsidRPr="001D7099" w:rsidRDefault="001907C1" w:rsidP="008906F1">
      <w:pPr>
        <w:spacing w:line="480" w:lineRule="auto"/>
        <w:ind w:firstLine="142"/>
        <w:rPr>
          <w:rFonts w:ascii="Times New Roman" w:hAnsi="Times New Roman"/>
          <w:iCs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>Finalmente, é</w:t>
      </w:r>
      <w:r w:rsidR="005F1349" w:rsidRPr="001D7099">
        <w:rPr>
          <w:rFonts w:ascii="Times New Roman" w:hAnsi="Times New Roman"/>
          <w:iCs/>
          <w:sz w:val="24"/>
          <w:szCs w:val="24"/>
        </w:rPr>
        <w:t xml:space="preserve"> também possível determinar a contribuição de cada categoria profissional na formação do ISR entre dois períodos. A expressão 1c) pode ser reescrita da seguinte forma:</w:t>
      </w:r>
    </w:p>
    <w:p w14:paraId="72573B7F" w14:textId="77777777" w:rsidR="005F1349" w:rsidRPr="001D7099" w:rsidRDefault="005F1349" w:rsidP="008906F1">
      <w:pPr>
        <w:spacing w:line="240" w:lineRule="auto"/>
        <w:ind w:firstLine="142"/>
        <w:rPr>
          <w:rFonts w:ascii="Times New Roman" w:hAnsi="Times New Roman"/>
          <w:iCs/>
          <w:sz w:val="24"/>
          <w:szCs w:val="24"/>
        </w:rPr>
      </w:pPr>
    </w:p>
    <w:p w14:paraId="17927A7D" w14:textId="717CF1EF" w:rsidR="005F1349" w:rsidRPr="001D7099" w:rsidRDefault="005F1349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 xml:space="preserve">(1e)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</m:oMath>
      <w:r w:rsidRPr="001D7099">
        <w:rPr>
          <w:rFonts w:ascii="Times New Roman" w:hAnsi="Times New Roman"/>
          <w:sz w:val="24"/>
          <w:szCs w:val="24"/>
        </w:rPr>
        <w:t xml:space="preserve">  em que:</w:t>
      </w:r>
    </w:p>
    <w:p w14:paraId="6971D0EB" w14:textId="77777777" w:rsidR="005F1349" w:rsidRPr="001D7099" w:rsidRDefault="005F1349" w:rsidP="00694E7A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4E68BA76" w14:textId="77777777" w:rsidR="005F1349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w:rPr>
            <w:rFonts w:ascii="Cambria Math" w:hAnsi="Cambria Math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</m:oMath>
      <w:r w:rsidR="005F1349" w:rsidRPr="001D7099">
        <w:rPr>
          <w:rFonts w:ascii="Times New Roman" w:hAnsi="Times New Roman"/>
          <w:iCs/>
          <w:sz w:val="24"/>
          <w:szCs w:val="24"/>
        </w:rPr>
        <w:t xml:space="preserve"> , representa a contribuição da categoria profissional urbana;</w:t>
      </w:r>
    </w:p>
    <w:p w14:paraId="22C61AB5" w14:textId="77777777" w:rsidR="005F1349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w:rPr>
            <w:rFonts w:ascii="Cambria Math" w:hAnsi="Cambria Math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</m:oMath>
      <w:r w:rsidR="005F1349" w:rsidRPr="001D7099">
        <w:rPr>
          <w:rFonts w:ascii="Times New Roman" w:hAnsi="Times New Roman"/>
          <w:iCs/>
          <w:sz w:val="24"/>
          <w:szCs w:val="24"/>
        </w:rPr>
        <w:t>, representa a contribuição da categoria profissional RNAG;</w:t>
      </w:r>
    </w:p>
    <w:p w14:paraId="24FB636D" w14:textId="77777777" w:rsidR="005F1349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nq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</m:oMath>
      <w:r w:rsidR="005F1349" w:rsidRPr="001D7099">
        <w:rPr>
          <w:rFonts w:ascii="Times New Roman" w:hAnsi="Times New Roman"/>
          <w:iCs/>
          <w:sz w:val="24"/>
          <w:szCs w:val="24"/>
        </w:rPr>
        <w:t xml:space="preserve"> ,representa a contribuição da categoria profissional agrícola.</w:t>
      </w:r>
    </w:p>
    <w:p w14:paraId="5B2225FC" w14:textId="77777777" w:rsidR="005F1349" w:rsidRPr="001D7099" w:rsidRDefault="005F1349" w:rsidP="00694E7A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48182923" w14:textId="7973A7C2" w:rsidR="005F1349" w:rsidRPr="001D7099" w:rsidRDefault="005F1349" w:rsidP="008906F1">
      <w:pPr>
        <w:spacing w:line="480" w:lineRule="auto"/>
        <w:ind w:firstLine="142"/>
        <w:rPr>
          <w:rFonts w:ascii="Times New Roman" w:hAnsi="Times New Roman"/>
          <w:iCs/>
          <w:sz w:val="24"/>
          <w:szCs w:val="24"/>
        </w:rPr>
      </w:pPr>
      <w:r w:rsidRPr="001D7099">
        <w:rPr>
          <w:rFonts w:ascii="Times New Roman" w:hAnsi="Times New Roman"/>
          <w:iCs/>
          <w:sz w:val="24"/>
          <w:szCs w:val="24"/>
        </w:rPr>
        <w:t xml:space="preserve">Para um dado intervalo entre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i=1</m:t>
        </m:r>
      </m:oMath>
      <w:r w:rsidRPr="001D7099">
        <w:rPr>
          <w:rFonts w:ascii="Times New Roman" w:hAnsi="Times New Roman"/>
          <w:iCs/>
          <w:sz w:val="24"/>
          <w:szCs w:val="24"/>
        </w:rPr>
        <w:t xml:space="preserve"> 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i=2</m:t>
        </m:r>
      </m:oMath>
      <w:r w:rsidRPr="001D7099">
        <w:rPr>
          <w:rFonts w:ascii="Times New Roman" w:hAnsi="Times New Roman"/>
          <w:sz w:val="24"/>
          <w:szCs w:val="24"/>
        </w:rPr>
        <w:t xml:space="preserve">, </w:t>
      </w:r>
      <w:r w:rsidRPr="001D7099">
        <w:rPr>
          <w:rFonts w:ascii="Times New Roman" w:hAnsi="Times New Roman"/>
          <w:iCs/>
          <w:sz w:val="24"/>
          <w:szCs w:val="24"/>
        </w:rPr>
        <w:t xml:space="preserve">contribuição </w:t>
      </w:r>
      <w:r w:rsidR="00AF3B61" w:rsidRPr="001D7099">
        <w:rPr>
          <w:rFonts w:ascii="Times New Roman" w:hAnsi="Times New Roman"/>
          <w:iCs/>
          <w:sz w:val="24"/>
          <w:szCs w:val="24"/>
        </w:rPr>
        <w:t xml:space="preserve">(a) </w:t>
      </w:r>
      <w:r w:rsidRPr="001D7099">
        <w:rPr>
          <w:rFonts w:ascii="Times New Roman" w:hAnsi="Times New Roman"/>
          <w:iCs/>
          <w:sz w:val="24"/>
          <w:szCs w:val="24"/>
        </w:rPr>
        <w:t xml:space="preserve">de cada de categoria profissional </w:t>
      </w:r>
      <w:r w:rsidR="001A7BD7" w:rsidRPr="001D7099">
        <w:rPr>
          <w:rFonts w:ascii="Times New Roman" w:hAnsi="Times New Roman"/>
          <w:iCs/>
          <w:sz w:val="24"/>
          <w:szCs w:val="24"/>
        </w:rPr>
        <w:t xml:space="preserve">para a variação do ISR </w:t>
      </w:r>
      <w:r w:rsidR="00AF3B61" w:rsidRPr="001D7099">
        <w:rPr>
          <w:rFonts w:ascii="Times New Roman" w:hAnsi="Times New Roman"/>
          <w:iCs/>
          <w:sz w:val="24"/>
          <w:szCs w:val="24"/>
        </w:rPr>
        <w:t xml:space="preserve">pode ser </w:t>
      </w:r>
      <w:r w:rsidRPr="001D7099">
        <w:rPr>
          <w:rFonts w:ascii="Times New Roman" w:hAnsi="Times New Roman"/>
          <w:iCs/>
          <w:sz w:val="24"/>
          <w:szCs w:val="24"/>
        </w:rPr>
        <w:t xml:space="preserve">obtida </w:t>
      </w:r>
      <w:r w:rsidR="00AF3B61" w:rsidRPr="001D7099">
        <w:rPr>
          <w:rFonts w:ascii="Times New Roman" w:hAnsi="Times New Roman"/>
          <w:iCs/>
          <w:sz w:val="24"/>
          <w:szCs w:val="24"/>
        </w:rPr>
        <w:t xml:space="preserve">pelo quociente entre a variação de cada categoria profissional com o termo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</m:oMath>
      <w:r w:rsidR="00AF3B61" w:rsidRPr="001D7099">
        <w:rPr>
          <w:rFonts w:ascii="Times New Roman" w:hAnsi="Times New Roman"/>
          <w:iCs/>
          <w:sz w:val="24"/>
          <w:szCs w:val="24"/>
        </w:rPr>
        <w:t xml:space="preserve"> </w:t>
      </w:r>
      <w:r w:rsidRPr="001D7099">
        <w:rPr>
          <w:rFonts w:ascii="Times New Roman" w:hAnsi="Times New Roman"/>
          <w:iCs/>
          <w:sz w:val="24"/>
          <w:szCs w:val="24"/>
        </w:rPr>
        <w:t>através das seguintes expressões</w:t>
      </w:r>
      <w:r w:rsidR="00AF3B61" w:rsidRPr="001D7099">
        <w:rPr>
          <w:rFonts w:ascii="Times New Roman" w:hAnsi="Times New Roman"/>
          <w:iCs/>
          <w:sz w:val="24"/>
          <w:szCs w:val="24"/>
        </w:rPr>
        <w:t xml:space="preserve"> (1</w:t>
      </w:r>
      <w:r w:rsidR="000346C2" w:rsidRPr="001D7099">
        <w:rPr>
          <w:rFonts w:ascii="Times New Roman" w:hAnsi="Times New Roman"/>
          <w:iCs/>
          <w:sz w:val="24"/>
          <w:szCs w:val="24"/>
        </w:rPr>
        <w:t>e</w:t>
      </w:r>
      <w:r w:rsidR="00AF3B61" w:rsidRPr="001D7099">
        <w:rPr>
          <w:rFonts w:ascii="Times New Roman" w:hAnsi="Times New Roman"/>
          <w:iCs/>
          <w:sz w:val="24"/>
          <w:szCs w:val="24"/>
        </w:rPr>
        <w:t>)</w:t>
      </w:r>
      <w:r w:rsidRPr="001D7099">
        <w:rPr>
          <w:rFonts w:ascii="Times New Roman" w:hAnsi="Times New Roman"/>
          <w:iCs/>
          <w:sz w:val="24"/>
          <w:szCs w:val="24"/>
        </w:rPr>
        <w:t>:</w:t>
      </w:r>
    </w:p>
    <w:p w14:paraId="61EEEF77" w14:textId="77777777" w:rsidR="005F1349" w:rsidRPr="001D7099" w:rsidRDefault="005F1349" w:rsidP="00694E7A">
      <w:pPr>
        <w:spacing w:line="240" w:lineRule="auto"/>
        <w:ind w:firstLine="142"/>
        <w:rPr>
          <w:rFonts w:ascii="Times New Roman" w:hAnsi="Times New Roman"/>
          <w:iCs/>
          <w:sz w:val="24"/>
          <w:szCs w:val="24"/>
        </w:rPr>
      </w:pPr>
    </w:p>
    <w:p w14:paraId="26659A93" w14:textId="7E99E6C9" w:rsidR="005F1349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</w:rPr>
              <m:t>δ1,2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5F1349" w:rsidRPr="001D7099">
        <w:rPr>
          <w:rFonts w:ascii="Times New Roman" w:hAnsi="Times New Roman"/>
          <w:iCs/>
          <w:sz w:val="24"/>
          <w:szCs w:val="24"/>
        </w:rPr>
        <w:t xml:space="preserve"> </w:t>
      </w:r>
    </w:p>
    <w:p w14:paraId="25029B54" w14:textId="639AFBB3" w:rsidR="00AF3B61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rna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</w:rPr>
              <m:t>δ1,2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AF3B61" w:rsidRPr="001D7099">
        <w:rPr>
          <w:rFonts w:ascii="Times New Roman" w:hAnsi="Times New Roman"/>
          <w:iCs/>
          <w:sz w:val="24"/>
          <w:szCs w:val="24"/>
        </w:rPr>
        <w:t xml:space="preserve"> </w:t>
      </w:r>
    </w:p>
    <w:p w14:paraId="1501F68D" w14:textId="2157F346" w:rsidR="00AF3B61" w:rsidRPr="001D7099" w:rsidRDefault="00000000" w:rsidP="008906F1">
      <w:pPr>
        <w:pStyle w:val="ListParagraph"/>
        <w:numPr>
          <w:ilvl w:val="0"/>
          <w:numId w:val="34"/>
        </w:numPr>
        <w:spacing w:line="480" w:lineRule="auto"/>
        <w:ind w:left="851" w:hanging="284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1,2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ag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</w:rPr>
              <m:t>δ1,2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AF3B61" w:rsidRPr="001D7099">
        <w:rPr>
          <w:rFonts w:ascii="Times New Roman" w:hAnsi="Times New Roman"/>
          <w:iCs/>
          <w:sz w:val="24"/>
          <w:szCs w:val="24"/>
        </w:rPr>
        <w:t xml:space="preserve"> </w:t>
      </w:r>
    </w:p>
    <w:p w14:paraId="388884FF" w14:textId="77777777" w:rsidR="000346C2" w:rsidRPr="001D7099" w:rsidRDefault="000346C2" w:rsidP="00694E7A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2E034851" w14:textId="51D5D24A" w:rsidR="00E67EEB" w:rsidRPr="001D7099" w:rsidRDefault="00AF3B61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Note-se que </w:t>
      </w:r>
      <w:r w:rsidR="00FF6C59" w:rsidRPr="001D7099">
        <w:rPr>
          <w:rFonts w:ascii="Times New Roman" w:hAnsi="Times New Roman"/>
          <w:sz w:val="24"/>
          <w:szCs w:val="24"/>
        </w:rPr>
        <w:t>todas as expressões estão definidas em função do salário jornaleiro</w:t>
      </w:r>
      <w:r w:rsidR="00E67EEB" w:rsidRPr="001D7099">
        <w:rPr>
          <w:rFonts w:ascii="Times New Roman" w:hAnsi="Times New Roman"/>
          <w:sz w:val="24"/>
          <w:szCs w:val="24"/>
        </w:rPr>
        <w:t xml:space="preserve"> não qualificado</w:t>
      </w:r>
      <w:r w:rsidR="00FF6C59" w:rsidRPr="001D7099">
        <w:rPr>
          <w:rFonts w:ascii="Times New Roman" w:hAnsi="Times New Roman"/>
          <w:sz w:val="24"/>
          <w:szCs w:val="24"/>
        </w:rPr>
        <w:t xml:space="preserve">. A expressão 1c) determina a contribuição, em percentagem, de cada categoria profissional na formação do ISR, mas não a variação real do ISR por categoria profissional. Permite, ainda assim, melhorar a compreensão do evolução setorial da economia que se obtém apenas pela análise da distribuição ocupacional da população. Em acréscimo, dado que o PAB é conhecido, é possível </w:t>
      </w:r>
      <w:r w:rsidR="001907C1" w:rsidRPr="001D7099">
        <w:rPr>
          <w:rFonts w:ascii="Times New Roman" w:hAnsi="Times New Roman"/>
          <w:sz w:val="24"/>
          <w:szCs w:val="24"/>
        </w:rPr>
        <w:t xml:space="preserve">decompor </w:t>
      </w:r>
      <w:r w:rsidR="00E67EEB" w:rsidRPr="001D7099">
        <w:rPr>
          <w:rFonts w:ascii="Times New Roman" w:hAnsi="Times New Roman"/>
          <w:sz w:val="24"/>
          <w:szCs w:val="24"/>
        </w:rPr>
        <w:t>o produto não agrícola</w:t>
      </w:r>
      <w:r w:rsidR="001907C1" w:rsidRPr="001D7099">
        <w:rPr>
          <w:rFonts w:ascii="Times New Roman" w:hAnsi="Times New Roman"/>
          <w:sz w:val="24"/>
          <w:szCs w:val="24"/>
        </w:rPr>
        <w:t xml:space="preserve"> na sua componentes Urbana </w:t>
      </w:r>
      <w:r w:rsidR="001907C1" w:rsidRPr="001D7099">
        <w:rPr>
          <w:rFonts w:ascii="Times New Roman" w:hAnsi="Times New Roman"/>
          <w:sz w:val="24"/>
          <w:szCs w:val="24"/>
        </w:rPr>
        <w:lastRenderedPageBreak/>
        <w:t xml:space="preserve">e </w:t>
      </w:r>
      <w:r w:rsidR="00E67EEB" w:rsidRPr="001D7099">
        <w:rPr>
          <w:rFonts w:ascii="Times New Roman" w:hAnsi="Times New Roman"/>
          <w:sz w:val="24"/>
          <w:szCs w:val="24"/>
        </w:rPr>
        <w:t>RNAG</w:t>
      </w:r>
      <w:r w:rsidR="001907C1" w:rsidRPr="001D7099">
        <w:rPr>
          <w:rFonts w:ascii="Times New Roman" w:hAnsi="Times New Roman"/>
          <w:sz w:val="24"/>
          <w:szCs w:val="24"/>
        </w:rPr>
        <w:t xml:space="preserve">, </w:t>
      </w:r>
      <w:r w:rsidR="00E67EEB" w:rsidRPr="001D7099">
        <w:rPr>
          <w:rFonts w:ascii="Times New Roman" w:hAnsi="Times New Roman"/>
          <w:sz w:val="24"/>
          <w:szCs w:val="24"/>
        </w:rPr>
        <w:t xml:space="preserve">usando </w:t>
      </w:r>
      <w:r w:rsidR="00FF6C59" w:rsidRPr="001D7099">
        <w:rPr>
          <w:rFonts w:ascii="Times New Roman" w:hAnsi="Times New Roman"/>
          <w:sz w:val="24"/>
          <w:szCs w:val="24"/>
        </w:rPr>
        <w:t xml:space="preserve">como proxy os pesos relativos </w:t>
      </w:r>
      <w:r w:rsidR="00E67EEB" w:rsidRPr="001D7099">
        <w:rPr>
          <w:rFonts w:ascii="Times New Roman" w:hAnsi="Times New Roman"/>
          <w:sz w:val="24"/>
          <w:szCs w:val="24"/>
        </w:rPr>
        <w:t xml:space="preserve">dessas </w:t>
      </w:r>
      <w:r w:rsidR="00FF6C59" w:rsidRPr="001D7099">
        <w:rPr>
          <w:rFonts w:ascii="Times New Roman" w:hAnsi="Times New Roman"/>
          <w:sz w:val="24"/>
          <w:szCs w:val="24"/>
        </w:rPr>
        <w:t xml:space="preserve">categorias profissionais </w:t>
      </w:r>
      <w:r w:rsidR="001907C1" w:rsidRPr="001D7099">
        <w:rPr>
          <w:rFonts w:ascii="Times New Roman" w:hAnsi="Times New Roman"/>
          <w:sz w:val="24"/>
          <w:szCs w:val="24"/>
        </w:rPr>
        <w:t xml:space="preserve">na formação do ISR. </w:t>
      </w:r>
    </w:p>
    <w:p w14:paraId="7A5334B7" w14:textId="5570DDA7" w:rsidR="00E67EEB" w:rsidRPr="001D7099" w:rsidRDefault="00E67EEB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A</w:t>
      </w:r>
      <w:r w:rsidR="00FF6C59" w:rsidRPr="001D7099">
        <w:rPr>
          <w:rFonts w:ascii="Times New Roman" w:hAnsi="Times New Roman"/>
          <w:sz w:val="24"/>
          <w:szCs w:val="24"/>
        </w:rPr>
        <w:t xml:space="preserve">s expressões </w:t>
      </w:r>
      <w:r w:rsidR="00AF3B61" w:rsidRPr="001D7099">
        <w:rPr>
          <w:rFonts w:ascii="Times New Roman" w:hAnsi="Times New Roman"/>
          <w:sz w:val="24"/>
          <w:szCs w:val="24"/>
        </w:rPr>
        <w:t>1d) e 1</w:t>
      </w:r>
      <w:r w:rsidR="000346C2" w:rsidRPr="001D7099">
        <w:rPr>
          <w:rFonts w:ascii="Times New Roman" w:hAnsi="Times New Roman"/>
          <w:sz w:val="24"/>
          <w:szCs w:val="24"/>
        </w:rPr>
        <w:t>e</w:t>
      </w:r>
      <w:r w:rsidR="00AF3B61" w:rsidRPr="001D7099">
        <w:rPr>
          <w:rFonts w:ascii="Times New Roman" w:hAnsi="Times New Roman"/>
          <w:sz w:val="24"/>
          <w:szCs w:val="24"/>
        </w:rPr>
        <w:t>)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F06683" w:rsidRPr="001D7099">
        <w:rPr>
          <w:rFonts w:ascii="Times New Roman" w:hAnsi="Times New Roman"/>
          <w:sz w:val="24"/>
          <w:szCs w:val="24"/>
        </w:rPr>
        <w:t xml:space="preserve">estão </w:t>
      </w:r>
      <w:r w:rsidRPr="001D7099">
        <w:rPr>
          <w:rFonts w:ascii="Times New Roman" w:hAnsi="Times New Roman"/>
          <w:sz w:val="24"/>
          <w:szCs w:val="24"/>
        </w:rPr>
        <w:t>definidas em função do salário jornaleiro não qualificado</w:t>
      </w:r>
      <w:r w:rsidR="00F06683" w:rsidRPr="001D7099">
        <w:rPr>
          <w:rFonts w:ascii="Times New Roman" w:hAnsi="Times New Roman"/>
          <w:sz w:val="24"/>
          <w:szCs w:val="24"/>
        </w:rPr>
        <w:t xml:space="preserve">, o que permite, </w:t>
      </w:r>
      <w:r w:rsidRPr="001D7099">
        <w:rPr>
          <w:rFonts w:ascii="Times New Roman" w:hAnsi="Times New Roman"/>
          <w:sz w:val="24"/>
          <w:szCs w:val="24"/>
        </w:rPr>
        <w:t xml:space="preserve">para um dado intervalo cronológico, e para uma dada variação dos salários jornaleiros, conhecer, por um lado, </w:t>
      </w:r>
      <w:r w:rsidR="004D5C76" w:rsidRPr="001D7099">
        <w:rPr>
          <w:rFonts w:ascii="Times New Roman" w:hAnsi="Times New Roman"/>
          <w:sz w:val="24"/>
          <w:szCs w:val="24"/>
        </w:rPr>
        <w:t xml:space="preserve">i) </w:t>
      </w:r>
      <w:r w:rsidRPr="001D7099">
        <w:rPr>
          <w:rFonts w:ascii="Times New Roman" w:hAnsi="Times New Roman"/>
          <w:sz w:val="24"/>
          <w:szCs w:val="24"/>
        </w:rPr>
        <w:t xml:space="preserve">a contribuição autónoma da estrutura populacional e do input do trabalho e, por outro, </w:t>
      </w:r>
      <w:r w:rsidR="004D5C76" w:rsidRPr="001D7099">
        <w:rPr>
          <w:rFonts w:ascii="Times New Roman" w:hAnsi="Times New Roman"/>
          <w:sz w:val="24"/>
          <w:szCs w:val="24"/>
        </w:rPr>
        <w:t xml:space="preserve">ii) </w:t>
      </w:r>
      <w:r w:rsidRPr="001D7099">
        <w:rPr>
          <w:rFonts w:ascii="Times New Roman" w:hAnsi="Times New Roman"/>
          <w:sz w:val="24"/>
          <w:szCs w:val="24"/>
        </w:rPr>
        <w:t xml:space="preserve">o contributo de cada categoria profissional, na variação do ISR. </w:t>
      </w:r>
      <w:r w:rsidR="00F06683" w:rsidRPr="001D7099">
        <w:rPr>
          <w:rFonts w:ascii="Times New Roman" w:hAnsi="Times New Roman"/>
          <w:sz w:val="24"/>
          <w:szCs w:val="24"/>
        </w:rPr>
        <w:t xml:space="preserve">Serão testados dois cenários: um em que o SJ não varia e outro em que a sua evolução corresponde </w:t>
      </w:r>
      <w:r w:rsidRPr="001D7099">
        <w:rPr>
          <w:rFonts w:ascii="Times New Roman" w:hAnsi="Times New Roman"/>
          <w:sz w:val="24"/>
          <w:szCs w:val="24"/>
        </w:rPr>
        <w:t xml:space="preserve">a uma variação do ISR </w:t>
      </w:r>
      <w:r w:rsidR="003C1C81" w:rsidRPr="001D7099">
        <w:rPr>
          <w:rFonts w:ascii="Times New Roman" w:hAnsi="Times New Roman"/>
          <w:sz w:val="24"/>
          <w:szCs w:val="24"/>
        </w:rPr>
        <w:t xml:space="preserve">idêntica </w:t>
      </w:r>
      <w:r w:rsidR="00F06683" w:rsidRPr="001D7099">
        <w:rPr>
          <w:rFonts w:ascii="Times New Roman" w:hAnsi="Times New Roman"/>
          <w:sz w:val="24"/>
          <w:szCs w:val="24"/>
        </w:rPr>
        <w:t>à</w:t>
      </w:r>
      <w:r w:rsidRPr="001D7099">
        <w:rPr>
          <w:rFonts w:ascii="Times New Roman" w:hAnsi="Times New Roman"/>
          <w:sz w:val="24"/>
          <w:szCs w:val="24"/>
        </w:rPr>
        <w:t xml:space="preserve"> do PIB pc. </w:t>
      </w:r>
      <w:r w:rsidR="00B376A8" w:rsidRPr="001D7099">
        <w:rPr>
          <w:rFonts w:ascii="Times New Roman" w:hAnsi="Times New Roman"/>
          <w:sz w:val="24"/>
          <w:szCs w:val="24"/>
        </w:rPr>
        <w:t xml:space="preserve">Considerando a falta de homogeneidade dos dados do skill premium, ir-se-á </w:t>
      </w:r>
      <w:r w:rsidR="00F06683" w:rsidRPr="001D7099">
        <w:rPr>
          <w:rFonts w:ascii="Times New Roman" w:hAnsi="Times New Roman"/>
          <w:sz w:val="24"/>
          <w:szCs w:val="24"/>
        </w:rPr>
        <w:t xml:space="preserve">também testar, em cada um </w:t>
      </w:r>
      <w:r w:rsidR="004D5C76" w:rsidRPr="001D7099">
        <w:rPr>
          <w:rFonts w:ascii="Times New Roman" w:hAnsi="Times New Roman"/>
          <w:sz w:val="24"/>
          <w:szCs w:val="24"/>
        </w:rPr>
        <w:t xml:space="preserve">desses casos, um cenário em que </w:t>
      </w:r>
      <w:r w:rsidR="00B376A8" w:rsidRPr="001D7099">
        <w:rPr>
          <w:rFonts w:ascii="Times New Roman" w:hAnsi="Times New Roman"/>
          <w:sz w:val="24"/>
          <w:szCs w:val="24"/>
        </w:rPr>
        <w:t xml:space="preserve">skill premium </w:t>
      </w:r>
      <w:r w:rsidR="004D5C76" w:rsidRPr="001D7099">
        <w:rPr>
          <w:rFonts w:ascii="Times New Roman" w:hAnsi="Times New Roman"/>
          <w:sz w:val="24"/>
          <w:szCs w:val="24"/>
        </w:rPr>
        <w:t xml:space="preserve">seja </w:t>
      </w:r>
      <w:r w:rsidR="00B376A8" w:rsidRPr="001D7099">
        <w:rPr>
          <w:rFonts w:ascii="Times New Roman" w:hAnsi="Times New Roman"/>
          <w:sz w:val="24"/>
          <w:szCs w:val="24"/>
        </w:rPr>
        <w:t xml:space="preserve">invariável e igual ao </w:t>
      </w:r>
      <w:r w:rsidR="00F06683" w:rsidRPr="001D7099">
        <w:rPr>
          <w:rFonts w:ascii="Times New Roman" w:hAnsi="Times New Roman"/>
          <w:sz w:val="24"/>
          <w:szCs w:val="24"/>
        </w:rPr>
        <w:t xml:space="preserve">valor médio </w:t>
      </w:r>
      <w:r w:rsidR="004D5C76" w:rsidRPr="001D7099">
        <w:rPr>
          <w:rFonts w:ascii="Times New Roman" w:hAnsi="Times New Roman"/>
          <w:sz w:val="24"/>
          <w:szCs w:val="24"/>
        </w:rPr>
        <w:t>registado n</w:t>
      </w:r>
      <w:r w:rsidR="00F06683" w:rsidRPr="001D7099">
        <w:rPr>
          <w:rFonts w:ascii="Times New Roman" w:hAnsi="Times New Roman"/>
          <w:sz w:val="24"/>
          <w:szCs w:val="24"/>
        </w:rPr>
        <w:t>o intervalo em análise</w:t>
      </w:r>
      <w:r w:rsidR="00B376A8" w:rsidRPr="001D7099">
        <w:rPr>
          <w:rFonts w:ascii="Times New Roman" w:hAnsi="Times New Roman"/>
          <w:sz w:val="24"/>
          <w:szCs w:val="24"/>
        </w:rPr>
        <w:t xml:space="preserve">. </w:t>
      </w:r>
    </w:p>
    <w:p w14:paraId="365EF4C1" w14:textId="1B81D3EC" w:rsidR="00224691" w:rsidRPr="001D7099" w:rsidRDefault="00224691" w:rsidP="009A3EEE">
      <w:pPr>
        <w:jc w:val="left"/>
        <w:rPr>
          <w:rFonts w:ascii="Times New Roman" w:hAnsi="Times New Roman"/>
          <w:sz w:val="24"/>
          <w:szCs w:val="24"/>
        </w:rPr>
      </w:pPr>
    </w:p>
    <w:p w14:paraId="21D9418B" w14:textId="56DDC7DA" w:rsidR="00B376A8" w:rsidRPr="001D7099" w:rsidRDefault="00A80799" w:rsidP="00730434">
      <w:pPr>
        <w:pStyle w:val="Heading1"/>
      </w:pPr>
      <w:bookmarkStart w:id="14" w:name="_Ref133851514"/>
      <w:bookmarkStart w:id="15" w:name="_Ref133857536"/>
      <w:bookmarkStart w:id="16" w:name="_Ref133922299"/>
      <w:bookmarkStart w:id="17" w:name="_Ref134106122"/>
      <w:bookmarkStart w:id="18" w:name="_Toc137755369"/>
      <w:bookmarkStart w:id="19" w:name="_Ref133348359"/>
      <w:bookmarkStart w:id="20" w:name="_Ref133572346"/>
      <w:bookmarkStart w:id="21" w:name="_Ref133621638"/>
      <w:r w:rsidRPr="001D7099">
        <w:t xml:space="preserve">Análise dos </w:t>
      </w:r>
      <w:r w:rsidR="00B376A8" w:rsidRPr="001D7099">
        <w:t>Resultados</w:t>
      </w:r>
      <w:bookmarkEnd w:id="14"/>
      <w:bookmarkEnd w:id="15"/>
      <w:bookmarkEnd w:id="16"/>
      <w:bookmarkEnd w:id="17"/>
      <w:bookmarkEnd w:id="18"/>
      <w:r w:rsidR="00B376A8" w:rsidRPr="001D7099">
        <w:t xml:space="preserve"> </w:t>
      </w:r>
      <w:bookmarkEnd w:id="19"/>
      <w:bookmarkEnd w:id="20"/>
      <w:bookmarkEnd w:id="21"/>
    </w:p>
    <w:p w14:paraId="65C8FAAE" w14:textId="74B06F39" w:rsidR="005216F3" w:rsidRPr="001D7099" w:rsidRDefault="00A26424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A averiguação de uma expressão analítica simplificada do rendimento</w:t>
      </w:r>
      <w:r w:rsidR="00EF3490" w:rsidRPr="001D7099">
        <w:rPr>
          <w:rFonts w:ascii="Times New Roman" w:hAnsi="Times New Roman"/>
          <w:sz w:val="24"/>
          <w:szCs w:val="24"/>
        </w:rPr>
        <w:t>, através das expressões 1c), 1d) e 1e)</w:t>
      </w:r>
      <w:r w:rsidRPr="001D7099">
        <w:rPr>
          <w:rFonts w:ascii="Times New Roman" w:hAnsi="Times New Roman"/>
          <w:sz w:val="24"/>
          <w:szCs w:val="24"/>
        </w:rPr>
        <w:t xml:space="preserve">, efetuada no ponto anterior, permite aprofundar a análise </w:t>
      </w:r>
      <w:r w:rsidR="003D7F22" w:rsidRPr="001D7099">
        <w:rPr>
          <w:rFonts w:ascii="Times New Roman" w:hAnsi="Times New Roman"/>
          <w:sz w:val="24"/>
          <w:szCs w:val="24"/>
        </w:rPr>
        <w:t>à</w:t>
      </w:r>
      <w:r w:rsidRPr="001D7099">
        <w:rPr>
          <w:rFonts w:ascii="Times New Roman" w:hAnsi="Times New Roman"/>
          <w:sz w:val="24"/>
          <w:szCs w:val="24"/>
        </w:rPr>
        <w:t xml:space="preserve"> série de </w:t>
      </w:r>
      <w:r w:rsidR="009E21E1" w:rsidRPr="001D7099">
        <w:rPr>
          <w:rFonts w:ascii="Times New Roman" w:hAnsi="Times New Roman"/>
          <w:sz w:val="24"/>
          <w:szCs w:val="24"/>
        </w:rPr>
        <w:t xml:space="preserve">Palma &amp; Reis (2019) </w:t>
      </w:r>
      <w:r w:rsidR="009E21E1">
        <w:rPr>
          <w:rFonts w:ascii="Times New Roman" w:hAnsi="Times New Roman"/>
          <w:sz w:val="24"/>
          <w:szCs w:val="24"/>
        </w:rPr>
        <w:t xml:space="preserve">de </w:t>
      </w:r>
      <w:r w:rsidR="003C1C81" w:rsidRPr="001D7099">
        <w:rPr>
          <w:rFonts w:ascii="Times New Roman" w:hAnsi="Times New Roman"/>
          <w:sz w:val="24"/>
          <w:szCs w:val="24"/>
        </w:rPr>
        <w:t xml:space="preserve">ISR e de </w:t>
      </w:r>
      <w:r w:rsidRPr="001D7099">
        <w:rPr>
          <w:rFonts w:ascii="Times New Roman" w:hAnsi="Times New Roman"/>
          <w:sz w:val="24"/>
          <w:szCs w:val="24"/>
        </w:rPr>
        <w:t>PIB</w:t>
      </w:r>
      <w:r w:rsidR="003C1C81" w:rsidRPr="001D7099">
        <w:rPr>
          <w:rFonts w:ascii="Times New Roman" w:hAnsi="Times New Roman"/>
          <w:sz w:val="24"/>
          <w:szCs w:val="24"/>
        </w:rPr>
        <w:t>,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3D7F22" w:rsidRPr="001D7099">
        <w:rPr>
          <w:rFonts w:ascii="Times New Roman" w:hAnsi="Times New Roman"/>
          <w:sz w:val="24"/>
          <w:szCs w:val="24"/>
        </w:rPr>
        <w:t>de três</w:t>
      </w:r>
      <w:r w:rsidR="00251679" w:rsidRPr="001D7099">
        <w:rPr>
          <w:rFonts w:ascii="Times New Roman" w:hAnsi="Times New Roman"/>
          <w:sz w:val="24"/>
          <w:szCs w:val="24"/>
        </w:rPr>
        <w:t xml:space="preserve"> </w:t>
      </w:r>
      <w:r w:rsidR="003D7F22" w:rsidRPr="001D7099">
        <w:rPr>
          <w:rFonts w:ascii="Times New Roman" w:hAnsi="Times New Roman"/>
          <w:sz w:val="24"/>
          <w:szCs w:val="24"/>
        </w:rPr>
        <w:t xml:space="preserve">formas </w:t>
      </w:r>
      <w:r w:rsidR="00251679" w:rsidRPr="001D7099">
        <w:rPr>
          <w:rFonts w:ascii="Times New Roman" w:hAnsi="Times New Roman"/>
          <w:sz w:val="24"/>
          <w:szCs w:val="24"/>
        </w:rPr>
        <w:t>distint</w:t>
      </w:r>
      <w:r w:rsidR="003D7F22" w:rsidRPr="001D7099">
        <w:rPr>
          <w:rFonts w:ascii="Times New Roman" w:hAnsi="Times New Roman"/>
          <w:sz w:val="24"/>
          <w:szCs w:val="24"/>
        </w:rPr>
        <w:t>a</w:t>
      </w:r>
      <w:r w:rsidR="00251679" w:rsidRPr="001D7099">
        <w:rPr>
          <w:rFonts w:ascii="Times New Roman" w:hAnsi="Times New Roman"/>
          <w:sz w:val="24"/>
          <w:szCs w:val="24"/>
        </w:rPr>
        <w:t xml:space="preserve">s. </w:t>
      </w:r>
      <w:r w:rsidRPr="001D7099">
        <w:rPr>
          <w:rFonts w:ascii="Times New Roman" w:hAnsi="Times New Roman"/>
          <w:sz w:val="24"/>
          <w:szCs w:val="24"/>
        </w:rPr>
        <w:t>Em primeiro, torna possível estimar a contribuição de cada categoria profissional (Urbana, RNAG, Agrícola) para a formação do rendimento em qualquer ponto da cronologia. Em segundo, calculando a componente não agrícola do PIB (PIB</w:t>
      </w:r>
      <w:r w:rsidRPr="001D7099">
        <w:rPr>
          <w:rFonts w:ascii="Times New Roman" w:hAnsi="Times New Roman"/>
          <w:sz w:val="24"/>
          <w:szCs w:val="24"/>
          <w:vertAlign w:val="subscript"/>
        </w:rPr>
        <w:t>nag</w:t>
      </w:r>
      <w:r w:rsidRPr="001D7099">
        <w:rPr>
          <w:rFonts w:ascii="Times New Roman" w:hAnsi="Times New Roman"/>
          <w:sz w:val="24"/>
          <w:szCs w:val="24"/>
        </w:rPr>
        <w:t>) por diferença entre o PIB e o PAB, é possível</w:t>
      </w:r>
      <w:r w:rsidR="00251679" w:rsidRPr="001D7099">
        <w:rPr>
          <w:rFonts w:ascii="Times New Roman" w:hAnsi="Times New Roman"/>
          <w:sz w:val="24"/>
          <w:szCs w:val="24"/>
        </w:rPr>
        <w:t xml:space="preserve"> subdividi</w:t>
      </w:r>
      <w:r w:rsidR="00F87899" w:rsidRPr="001D7099">
        <w:rPr>
          <w:rFonts w:ascii="Times New Roman" w:hAnsi="Times New Roman"/>
          <w:sz w:val="24"/>
          <w:szCs w:val="24"/>
        </w:rPr>
        <w:t>-lo</w:t>
      </w:r>
      <w:r w:rsidR="00251679" w:rsidRPr="001D7099"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>nas suas componentes Urbana e RNAG</w:t>
      </w:r>
      <w:r w:rsidR="00F87899" w:rsidRPr="001D7099">
        <w:rPr>
          <w:rFonts w:ascii="Times New Roman" w:hAnsi="Times New Roman"/>
          <w:sz w:val="24"/>
          <w:szCs w:val="24"/>
        </w:rPr>
        <w:t>, utilizando como proxy as respetivas contribuições para o ISR.</w:t>
      </w:r>
      <w:r w:rsidR="00251679" w:rsidRPr="001D7099">
        <w:rPr>
          <w:rFonts w:ascii="Times New Roman" w:hAnsi="Times New Roman"/>
          <w:sz w:val="24"/>
          <w:szCs w:val="24"/>
        </w:rPr>
        <w:t xml:space="preserve"> Adicionalmente</w:t>
      </w:r>
      <w:r w:rsidR="005216F3" w:rsidRPr="001D7099">
        <w:rPr>
          <w:rFonts w:ascii="Times New Roman" w:hAnsi="Times New Roman"/>
          <w:sz w:val="24"/>
          <w:szCs w:val="24"/>
        </w:rPr>
        <w:t xml:space="preserve">, </w:t>
      </w:r>
      <w:r w:rsidR="003C1C81" w:rsidRPr="001D7099">
        <w:rPr>
          <w:rFonts w:ascii="Times New Roman" w:hAnsi="Times New Roman"/>
          <w:sz w:val="24"/>
          <w:szCs w:val="24"/>
        </w:rPr>
        <w:t xml:space="preserve">arbitrando </w:t>
      </w:r>
      <w:r w:rsidR="005216F3" w:rsidRPr="001D7099">
        <w:rPr>
          <w:rFonts w:ascii="Times New Roman" w:hAnsi="Times New Roman"/>
          <w:sz w:val="24"/>
          <w:szCs w:val="24"/>
        </w:rPr>
        <w:t>um intervalo de tempo, a</w:t>
      </w:r>
      <w:r w:rsidR="003D7F22" w:rsidRPr="001D7099">
        <w:rPr>
          <w:rFonts w:ascii="Times New Roman" w:hAnsi="Times New Roman"/>
          <w:sz w:val="24"/>
          <w:szCs w:val="24"/>
        </w:rPr>
        <w:t>s</w:t>
      </w:r>
      <w:r w:rsidR="005216F3" w:rsidRPr="001D7099">
        <w:rPr>
          <w:rFonts w:ascii="Times New Roman" w:hAnsi="Times New Roman"/>
          <w:sz w:val="24"/>
          <w:szCs w:val="24"/>
        </w:rPr>
        <w:t xml:space="preserve"> express</w:t>
      </w:r>
      <w:r w:rsidR="003D7F22" w:rsidRPr="001D7099">
        <w:rPr>
          <w:rFonts w:ascii="Times New Roman" w:hAnsi="Times New Roman"/>
          <w:sz w:val="24"/>
          <w:szCs w:val="24"/>
        </w:rPr>
        <w:t>ões</w:t>
      </w:r>
      <w:r w:rsidR="005216F3" w:rsidRPr="001D7099">
        <w:rPr>
          <w:rFonts w:ascii="Times New Roman" w:hAnsi="Times New Roman"/>
          <w:sz w:val="24"/>
          <w:szCs w:val="24"/>
        </w:rPr>
        <w:t xml:space="preserve"> 1</w:t>
      </w:r>
      <w:r w:rsidR="00EF3490" w:rsidRPr="001D7099">
        <w:rPr>
          <w:rFonts w:ascii="Times New Roman" w:hAnsi="Times New Roman"/>
          <w:sz w:val="24"/>
          <w:szCs w:val="24"/>
        </w:rPr>
        <w:t>d</w:t>
      </w:r>
      <w:r w:rsidR="005216F3" w:rsidRPr="001D7099">
        <w:rPr>
          <w:rFonts w:ascii="Times New Roman" w:hAnsi="Times New Roman"/>
          <w:sz w:val="24"/>
          <w:szCs w:val="24"/>
        </w:rPr>
        <w:t xml:space="preserve">) </w:t>
      </w:r>
      <w:r w:rsidR="003D7F22" w:rsidRPr="001D7099">
        <w:rPr>
          <w:rFonts w:ascii="Times New Roman" w:hAnsi="Times New Roman"/>
          <w:sz w:val="24"/>
          <w:szCs w:val="24"/>
        </w:rPr>
        <w:t>e 1</w:t>
      </w:r>
      <w:r w:rsidR="00EF3490" w:rsidRPr="001D7099">
        <w:rPr>
          <w:rFonts w:ascii="Times New Roman" w:hAnsi="Times New Roman"/>
          <w:sz w:val="24"/>
          <w:szCs w:val="24"/>
        </w:rPr>
        <w:t>e</w:t>
      </w:r>
      <w:r w:rsidR="003D7F22" w:rsidRPr="001D7099">
        <w:rPr>
          <w:rFonts w:ascii="Times New Roman" w:hAnsi="Times New Roman"/>
          <w:sz w:val="24"/>
          <w:szCs w:val="24"/>
        </w:rPr>
        <w:t xml:space="preserve">) </w:t>
      </w:r>
      <w:r w:rsidR="005216F3" w:rsidRPr="001D7099">
        <w:rPr>
          <w:rFonts w:ascii="Times New Roman" w:hAnsi="Times New Roman"/>
          <w:sz w:val="24"/>
          <w:szCs w:val="24"/>
        </w:rPr>
        <w:t>permite</w:t>
      </w:r>
      <w:r w:rsidR="003D7F22" w:rsidRPr="001D7099">
        <w:rPr>
          <w:rFonts w:ascii="Times New Roman" w:hAnsi="Times New Roman"/>
          <w:sz w:val="24"/>
          <w:szCs w:val="24"/>
        </w:rPr>
        <w:t>m</w:t>
      </w:r>
      <w:r w:rsidR="005216F3" w:rsidRPr="001D7099">
        <w:rPr>
          <w:rFonts w:ascii="Times New Roman" w:hAnsi="Times New Roman"/>
          <w:sz w:val="24"/>
          <w:szCs w:val="24"/>
        </w:rPr>
        <w:t xml:space="preserve"> apurar, </w:t>
      </w:r>
      <w:r w:rsidR="003D7F22" w:rsidRPr="001D7099">
        <w:rPr>
          <w:rFonts w:ascii="Times New Roman" w:hAnsi="Times New Roman"/>
          <w:sz w:val="24"/>
          <w:szCs w:val="24"/>
        </w:rPr>
        <w:t xml:space="preserve">por um lado, </w:t>
      </w:r>
      <w:r w:rsidR="005216F3" w:rsidRPr="001D7099">
        <w:rPr>
          <w:rFonts w:ascii="Times New Roman" w:hAnsi="Times New Roman"/>
          <w:sz w:val="24"/>
          <w:szCs w:val="24"/>
        </w:rPr>
        <w:t xml:space="preserve">a contribuição </w:t>
      </w:r>
      <w:r w:rsidR="003D7F22" w:rsidRPr="001D7099">
        <w:rPr>
          <w:rFonts w:ascii="Times New Roman" w:hAnsi="Times New Roman"/>
          <w:sz w:val="24"/>
          <w:szCs w:val="24"/>
        </w:rPr>
        <w:t xml:space="preserve">de cada categoria profissional para a variação do ISR e, por outro, medir a contribuição autónoma dos termos </w:t>
      </w:r>
      <w:r w:rsidR="003C1C81" w:rsidRPr="001D7099">
        <w:rPr>
          <w:rFonts w:ascii="Times New Roman" w:hAnsi="Times New Roman"/>
          <w:sz w:val="24"/>
          <w:szCs w:val="24"/>
        </w:rPr>
        <w:t>d</w:t>
      </w:r>
      <w:r w:rsidR="003D7F22" w:rsidRPr="001D7099">
        <w:rPr>
          <w:rFonts w:ascii="Times New Roman" w:hAnsi="Times New Roman"/>
          <w:sz w:val="24"/>
          <w:szCs w:val="24"/>
        </w:rPr>
        <w:t xml:space="preserve">o ISR – </w:t>
      </w:r>
      <w:r w:rsidR="005216F3" w:rsidRPr="001D7099">
        <w:rPr>
          <w:rFonts w:ascii="Times New Roman" w:hAnsi="Times New Roman"/>
          <w:sz w:val="24"/>
          <w:szCs w:val="24"/>
        </w:rPr>
        <w:t>i.e., ISJ, estrutura ocupacional da população e input de trabalho pc</w:t>
      </w:r>
      <w:r w:rsidR="003D7F22" w:rsidRPr="001D7099">
        <w:rPr>
          <w:rFonts w:ascii="Times New Roman" w:hAnsi="Times New Roman"/>
          <w:sz w:val="24"/>
          <w:szCs w:val="24"/>
        </w:rPr>
        <w:t xml:space="preserve"> – para essa mesma variação. </w:t>
      </w:r>
      <w:r w:rsidR="005216F3" w:rsidRPr="001D7099">
        <w:rPr>
          <w:rFonts w:ascii="Times New Roman" w:hAnsi="Times New Roman"/>
          <w:sz w:val="24"/>
          <w:szCs w:val="24"/>
        </w:rPr>
        <w:t xml:space="preserve">Nesta secção, apresentam-se e </w:t>
      </w:r>
      <w:r w:rsidR="00325FC6" w:rsidRPr="001D7099">
        <w:rPr>
          <w:rFonts w:ascii="Times New Roman" w:hAnsi="Times New Roman"/>
          <w:sz w:val="24"/>
          <w:szCs w:val="24"/>
        </w:rPr>
        <w:t xml:space="preserve">analisam-se </w:t>
      </w:r>
      <w:r w:rsidR="005216F3" w:rsidRPr="001D7099">
        <w:rPr>
          <w:rFonts w:ascii="Times New Roman" w:hAnsi="Times New Roman"/>
          <w:sz w:val="24"/>
          <w:szCs w:val="24"/>
        </w:rPr>
        <w:t xml:space="preserve">esses resultados. </w:t>
      </w:r>
    </w:p>
    <w:p w14:paraId="50901A93" w14:textId="3C0552D6" w:rsidR="007C7B09" w:rsidRPr="001D7099" w:rsidRDefault="007C7B09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lastRenderedPageBreak/>
        <w:t xml:space="preserve">A discussão sobre o </w:t>
      </w:r>
      <w:r w:rsidR="00B376A8" w:rsidRPr="001D7099">
        <w:rPr>
          <w:rFonts w:ascii="Times New Roman" w:hAnsi="Times New Roman"/>
          <w:sz w:val="24"/>
          <w:szCs w:val="24"/>
        </w:rPr>
        <w:t xml:space="preserve">impacto da estrutura ocupacional na </w:t>
      </w:r>
      <w:r w:rsidRPr="001D7099">
        <w:rPr>
          <w:rFonts w:ascii="Times New Roman" w:hAnsi="Times New Roman"/>
          <w:sz w:val="24"/>
          <w:szCs w:val="24"/>
        </w:rPr>
        <w:t xml:space="preserve">evolução ISR e do próprio PIB, </w:t>
      </w:r>
      <w:r w:rsidR="005216F3" w:rsidRPr="001D7099">
        <w:rPr>
          <w:rFonts w:ascii="Times New Roman" w:hAnsi="Times New Roman"/>
          <w:sz w:val="24"/>
          <w:szCs w:val="24"/>
        </w:rPr>
        <w:t>mencionada</w:t>
      </w:r>
      <w:r w:rsidRPr="001D7099">
        <w:rPr>
          <w:rFonts w:ascii="Times New Roman" w:hAnsi="Times New Roman"/>
          <w:sz w:val="24"/>
          <w:szCs w:val="24"/>
        </w:rPr>
        <w:t xml:space="preserve"> em </w:t>
      </w:r>
      <w:r w:rsidRPr="001D7099">
        <w:rPr>
          <w:rFonts w:ascii="Times New Roman" w:hAnsi="Times New Roman"/>
          <w:sz w:val="24"/>
          <w:szCs w:val="24"/>
        </w:rPr>
        <w:fldChar w:fldCharType="begin"/>
      </w:r>
      <w:r w:rsidRPr="001D7099">
        <w:rPr>
          <w:rFonts w:ascii="Times New Roman" w:hAnsi="Times New Roman"/>
          <w:sz w:val="24"/>
          <w:szCs w:val="24"/>
        </w:rPr>
        <w:instrText xml:space="preserve"> REF _Ref130984935 \r \h </w:instrText>
      </w:r>
      <w:r w:rsidR="00DC2034" w:rsidRPr="001D7099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1D7099">
        <w:rPr>
          <w:rFonts w:ascii="Times New Roman" w:hAnsi="Times New Roman"/>
          <w:sz w:val="24"/>
          <w:szCs w:val="24"/>
        </w:rPr>
      </w:r>
      <w:r w:rsidRPr="001D7099">
        <w:rPr>
          <w:rFonts w:ascii="Times New Roman" w:hAnsi="Times New Roman"/>
          <w:sz w:val="24"/>
          <w:szCs w:val="24"/>
        </w:rPr>
        <w:fldChar w:fldCharType="separate"/>
      </w:r>
      <w:r w:rsidR="00F535A2" w:rsidRPr="001D7099">
        <w:rPr>
          <w:rFonts w:ascii="Times New Roman" w:hAnsi="Times New Roman"/>
          <w:sz w:val="24"/>
          <w:szCs w:val="24"/>
        </w:rPr>
        <w:t>2.2</w:t>
      </w:r>
      <w:r w:rsidRPr="001D7099">
        <w:rPr>
          <w:rFonts w:ascii="Times New Roman" w:hAnsi="Times New Roman"/>
          <w:sz w:val="24"/>
          <w:szCs w:val="24"/>
        </w:rPr>
        <w:fldChar w:fldCharType="end"/>
      </w:r>
      <w:r w:rsidRPr="001D7099">
        <w:rPr>
          <w:rFonts w:ascii="Times New Roman" w:hAnsi="Times New Roman"/>
          <w:sz w:val="24"/>
          <w:szCs w:val="24"/>
        </w:rPr>
        <w:t xml:space="preserve">, estava limitada à variação da fração de cada categoria </w:t>
      </w:r>
      <w:r w:rsidR="00E56FF2" w:rsidRPr="001D7099">
        <w:rPr>
          <w:rFonts w:ascii="Times New Roman" w:hAnsi="Times New Roman"/>
          <w:sz w:val="24"/>
          <w:szCs w:val="24"/>
        </w:rPr>
        <w:t>profissional.</w:t>
      </w:r>
      <w:r w:rsidR="006D70AE" w:rsidRPr="001D7099"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 xml:space="preserve">Esta discussão pode agora ser </w:t>
      </w:r>
      <w:r w:rsidR="00EF0650" w:rsidRPr="001D7099">
        <w:rPr>
          <w:rFonts w:ascii="Times New Roman" w:hAnsi="Times New Roman"/>
          <w:sz w:val="24"/>
          <w:szCs w:val="24"/>
        </w:rPr>
        <w:t>completada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EF0650" w:rsidRPr="001D7099">
        <w:rPr>
          <w:rFonts w:ascii="Times New Roman" w:hAnsi="Times New Roman"/>
          <w:sz w:val="24"/>
          <w:szCs w:val="24"/>
        </w:rPr>
        <w:t>com a inclusão d</w:t>
      </w:r>
      <w:r w:rsidRPr="001D7099">
        <w:rPr>
          <w:rFonts w:ascii="Times New Roman" w:hAnsi="Times New Roman"/>
          <w:sz w:val="24"/>
          <w:szCs w:val="24"/>
        </w:rPr>
        <w:t>o contributo de cada categoria profissional na formação do ISR</w:t>
      </w:r>
      <w:r w:rsidR="006D70AE" w:rsidRPr="001D7099">
        <w:rPr>
          <w:rFonts w:ascii="Times New Roman" w:hAnsi="Times New Roman"/>
          <w:sz w:val="24"/>
          <w:szCs w:val="24"/>
        </w:rPr>
        <w:t xml:space="preserve"> </w:t>
      </w:r>
      <w:r w:rsidR="004B4BA8">
        <w:rPr>
          <w:rFonts w:ascii="Times New Roman" w:hAnsi="Times New Roman"/>
          <w:sz w:val="24"/>
          <w:szCs w:val="24"/>
        </w:rPr>
        <w:t xml:space="preserve">(Gráfico </w:t>
      </w:r>
      <w:r w:rsidR="006D70AE" w:rsidRPr="001D7099">
        <w:rPr>
          <w:rFonts w:ascii="Times New Roman" w:hAnsi="Times New Roman"/>
          <w:sz w:val="24"/>
          <w:szCs w:val="24"/>
        </w:rPr>
        <w:t>1</w:t>
      </w:r>
      <w:r w:rsidR="004B4BA8">
        <w:rPr>
          <w:rFonts w:ascii="Times New Roman" w:hAnsi="Times New Roman"/>
          <w:sz w:val="24"/>
          <w:szCs w:val="24"/>
        </w:rPr>
        <w:t>)</w:t>
      </w:r>
      <w:r w:rsidR="006D70AE" w:rsidRPr="001D7099">
        <w:rPr>
          <w:rFonts w:ascii="Times New Roman" w:hAnsi="Times New Roman"/>
          <w:sz w:val="24"/>
          <w:szCs w:val="24"/>
        </w:rPr>
        <w:t>.</w:t>
      </w:r>
    </w:p>
    <w:p w14:paraId="7A6B63C4" w14:textId="77777777" w:rsidR="00694E7A" w:rsidRDefault="00694E7A" w:rsidP="009A3EEE">
      <w:pPr>
        <w:spacing w:line="276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14:paraId="457BD5D9" w14:textId="54990261" w:rsidR="007C7B09" w:rsidRPr="00694E7A" w:rsidRDefault="000D7998" w:rsidP="00694E7A">
      <w:pPr>
        <w:spacing w:line="276" w:lineRule="auto"/>
        <w:ind w:firstLine="142"/>
        <w:jc w:val="center"/>
        <w:rPr>
          <w:rFonts w:ascii="Times New Roman" w:hAnsi="Times New Roman"/>
          <w:sz w:val="22"/>
          <w:szCs w:val="22"/>
        </w:rPr>
      </w:pPr>
      <w:r w:rsidRPr="00694E7A">
        <w:rPr>
          <w:rFonts w:ascii="Times New Roman" w:hAnsi="Times New Roman"/>
          <w:b/>
          <w:bCs/>
          <w:sz w:val="22"/>
          <w:szCs w:val="22"/>
        </w:rPr>
        <w:t>Gráfico</w:t>
      </w:r>
      <w:r w:rsidR="007C7B09" w:rsidRPr="00694E7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C7B09" w:rsidRPr="00694E7A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="007C7B09" w:rsidRPr="00694E7A">
        <w:rPr>
          <w:rFonts w:ascii="Times New Roman" w:hAnsi="Times New Roman"/>
          <w:b/>
          <w:bCs/>
          <w:sz w:val="22"/>
          <w:szCs w:val="22"/>
        </w:rPr>
        <w:instrText xml:space="preserve"> SEQ Quadro \* ARABIC </w:instrText>
      </w:r>
      <w:r w:rsidR="007C7B09" w:rsidRPr="00694E7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F535A2" w:rsidRPr="00694E7A">
        <w:rPr>
          <w:rFonts w:ascii="Times New Roman" w:hAnsi="Times New Roman"/>
          <w:b/>
          <w:bCs/>
          <w:noProof/>
          <w:sz w:val="22"/>
          <w:szCs w:val="22"/>
        </w:rPr>
        <w:t>1</w:t>
      </w:r>
      <w:r w:rsidR="007C7B09" w:rsidRPr="00694E7A"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7C7B09" w:rsidRPr="00694E7A">
        <w:rPr>
          <w:rFonts w:ascii="Times New Roman" w:hAnsi="Times New Roman"/>
          <w:sz w:val="22"/>
          <w:szCs w:val="22"/>
        </w:rPr>
        <w:t xml:space="preserve">: </w:t>
      </w:r>
      <w:r w:rsidR="007C7B09" w:rsidRPr="00694E7A">
        <w:rPr>
          <w:rFonts w:ascii="Times New Roman" w:hAnsi="Times New Roman"/>
          <w:b/>
          <w:bCs/>
          <w:sz w:val="22"/>
          <w:szCs w:val="22"/>
        </w:rPr>
        <w:t xml:space="preserve">Contribuição de </w:t>
      </w:r>
      <w:r w:rsidR="00F87899" w:rsidRPr="00694E7A">
        <w:rPr>
          <w:rFonts w:ascii="Times New Roman" w:hAnsi="Times New Roman"/>
          <w:b/>
          <w:bCs/>
          <w:sz w:val="22"/>
          <w:szCs w:val="22"/>
        </w:rPr>
        <w:t>c</w:t>
      </w:r>
      <w:r w:rsidR="007C7B09" w:rsidRPr="00694E7A">
        <w:rPr>
          <w:rFonts w:ascii="Times New Roman" w:hAnsi="Times New Roman"/>
          <w:b/>
          <w:bCs/>
          <w:sz w:val="22"/>
          <w:szCs w:val="22"/>
        </w:rPr>
        <w:t xml:space="preserve">ada Categoria Profissional na Formação do ISR </w:t>
      </w:r>
      <w:r w:rsidR="00F87899" w:rsidRPr="00694E7A">
        <w:rPr>
          <w:rFonts w:ascii="Times New Roman" w:hAnsi="Times New Roman"/>
          <w:b/>
          <w:bCs/>
          <w:sz w:val="22"/>
          <w:szCs w:val="22"/>
        </w:rPr>
        <w:t xml:space="preserve">(y1) </w:t>
      </w:r>
      <w:r w:rsidR="0008562C" w:rsidRPr="00694E7A">
        <w:rPr>
          <w:rFonts w:ascii="Times New Roman" w:hAnsi="Times New Roman"/>
          <w:b/>
          <w:bCs/>
          <w:sz w:val="22"/>
          <w:szCs w:val="22"/>
        </w:rPr>
        <w:t xml:space="preserve">e Variação Total da População </w:t>
      </w:r>
      <w:r w:rsidR="00F87899" w:rsidRPr="00694E7A">
        <w:rPr>
          <w:rFonts w:ascii="Times New Roman" w:hAnsi="Times New Roman"/>
          <w:b/>
          <w:bCs/>
          <w:sz w:val="22"/>
          <w:szCs w:val="22"/>
        </w:rPr>
        <w:t xml:space="preserve">(y2) </w:t>
      </w:r>
      <w:r w:rsidR="005216F3" w:rsidRPr="00694E7A">
        <w:rPr>
          <w:rFonts w:ascii="Times New Roman" w:hAnsi="Times New Roman"/>
          <w:b/>
          <w:bCs/>
          <w:sz w:val="22"/>
          <w:szCs w:val="22"/>
        </w:rPr>
        <w:t>(1600-1845)</w:t>
      </w:r>
      <w:r w:rsidR="005216F3" w:rsidRPr="00694E7A">
        <w:rPr>
          <w:rFonts w:ascii="Times New Roman" w:hAnsi="Times New Roman"/>
          <w:sz w:val="22"/>
          <w:szCs w:val="22"/>
        </w:rPr>
        <w:t xml:space="preserve"> </w:t>
      </w:r>
    </w:p>
    <w:p w14:paraId="097CE2DC" w14:textId="29A2D3ED" w:rsidR="006D70AE" w:rsidRPr="001D7099" w:rsidRDefault="00DB11A4" w:rsidP="008906F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058834" wp14:editId="1E39C496">
            <wp:extent cx="5112000" cy="3337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33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5EA8D" w14:textId="3065B4B3" w:rsidR="00EF3490" w:rsidRDefault="00EF3490" w:rsidP="008906F1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  <w:r w:rsidRPr="0067424D">
        <w:rPr>
          <w:rFonts w:ascii="Times New Roman" w:hAnsi="Times New Roman"/>
          <w:b/>
          <w:bCs/>
          <w:sz w:val="22"/>
          <w:szCs w:val="22"/>
        </w:rPr>
        <w:t>Fontes</w:t>
      </w:r>
      <w:r w:rsidRPr="0067424D">
        <w:rPr>
          <w:rFonts w:ascii="Times New Roman" w:hAnsi="Times New Roman"/>
          <w:sz w:val="22"/>
          <w:szCs w:val="22"/>
        </w:rPr>
        <w:t xml:space="preserve">: </w:t>
      </w:r>
      <w:r w:rsidR="00606A7A" w:rsidRPr="0067424D">
        <w:rPr>
          <w:rFonts w:ascii="Times New Roman" w:hAnsi="Times New Roman"/>
          <w:sz w:val="22"/>
          <w:szCs w:val="22"/>
        </w:rPr>
        <w:t>Ver</w:t>
      </w:r>
      <w:r w:rsidRPr="0067424D">
        <w:rPr>
          <w:rFonts w:ascii="Times New Roman" w:hAnsi="Times New Roman"/>
          <w:sz w:val="22"/>
          <w:szCs w:val="22"/>
        </w:rPr>
        <w:t xml:space="preserve"> Texto</w:t>
      </w:r>
    </w:p>
    <w:p w14:paraId="458151BD" w14:textId="77777777" w:rsidR="009E21E1" w:rsidRPr="00694E7A" w:rsidRDefault="009E21E1" w:rsidP="009A3EE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701F293C" w14:textId="666641E1" w:rsidR="00130C67" w:rsidRPr="001D7099" w:rsidRDefault="009E21E1" w:rsidP="00C15EFA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A componente agrícola do ISR regride de 45% para 35% entre 1600 e c.1760, mantendo-se nesse nível nas três décadas seguintes. Nesse período, a componente Agrícola do ISR é apenas marginalmente superior à contribuição da categoria RNAG. Entre c. 1790 e c. 1850, essa componente cresce até atingir um máximo nos anos 1830 (47%), estabilizando, no final da cronologia, em valores próximos do observado em 1600 (45%).</w:t>
      </w:r>
      <w:r w:rsidR="00C15EFA">
        <w:rPr>
          <w:rFonts w:ascii="Times New Roman" w:hAnsi="Times New Roman"/>
          <w:sz w:val="24"/>
          <w:szCs w:val="24"/>
        </w:rPr>
        <w:t xml:space="preserve"> </w:t>
      </w:r>
      <w:r w:rsidR="003E6F2C" w:rsidRPr="001D7099">
        <w:rPr>
          <w:rFonts w:ascii="Times New Roman" w:hAnsi="Times New Roman"/>
          <w:sz w:val="24"/>
          <w:szCs w:val="24"/>
        </w:rPr>
        <w:t xml:space="preserve">Esta variação segue, aproximadamente, a evolução da </w:t>
      </w:r>
      <w:r w:rsidR="00F87899" w:rsidRPr="001D7099">
        <w:rPr>
          <w:rFonts w:ascii="Times New Roman" w:hAnsi="Times New Roman"/>
          <w:sz w:val="24"/>
          <w:szCs w:val="24"/>
        </w:rPr>
        <w:t xml:space="preserve">fração </w:t>
      </w:r>
      <w:r w:rsidR="003E6F2C" w:rsidRPr="001D7099">
        <w:rPr>
          <w:rFonts w:ascii="Times New Roman" w:hAnsi="Times New Roman"/>
          <w:sz w:val="24"/>
          <w:szCs w:val="24"/>
        </w:rPr>
        <w:t xml:space="preserve">agrícola da </w:t>
      </w:r>
      <w:r w:rsidR="00F87899" w:rsidRPr="001D7099">
        <w:rPr>
          <w:rFonts w:ascii="Times New Roman" w:hAnsi="Times New Roman"/>
          <w:sz w:val="24"/>
          <w:szCs w:val="24"/>
        </w:rPr>
        <w:t xml:space="preserve">população </w:t>
      </w:r>
      <w:r w:rsidR="003E6F2C" w:rsidRPr="001D7099">
        <w:rPr>
          <w:rFonts w:ascii="Times New Roman" w:hAnsi="Times New Roman"/>
          <w:sz w:val="24"/>
          <w:szCs w:val="24"/>
        </w:rPr>
        <w:t xml:space="preserve">com duas exceções: i) </w:t>
      </w:r>
      <w:r w:rsidR="00C15EFA">
        <w:rPr>
          <w:rFonts w:ascii="Times New Roman" w:hAnsi="Times New Roman"/>
          <w:sz w:val="24"/>
          <w:szCs w:val="24"/>
        </w:rPr>
        <w:t>n</w:t>
      </w:r>
      <w:r w:rsidR="003E6F2C" w:rsidRPr="001D7099">
        <w:rPr>
          <w:rFonts w:ascii="Times New Roman" w:hAnsi="Times New Roman"/>
          <w:sz w:val="24"/>
          <w:szCs w:val="24"/>
        </w:rPr>
        <w:t xml:space="preserve">o terceiro quartel do século XVIII, o crescimento da população agrícola não se reflete no aumento da componente agrícola do ISR e ii) </w:t>
      </w:r>
      <w:r w:rsidR="00606A7A" w:rsidRPr="001D7099">
        <w:rPr>
          <w:rFonts w:ascii="Times New Roman" w:hAnsi="Times New Roman"/>
          <w:sz w:val="24"/>
          <w:szCs w:val="24"/>
        </w:rPr>
        <w:t>n</w:t>
      </w:r>
      <w:r w:rsidR="003E6F2C" w:rsidRPr="001D7099">
        <w:rPr>
          <w:rFonts w:ascii="Times New Roman" w:hAnsi="Times New Roman"/>
          <w:sz w:val="24"/>
          <w:szCs w:val="24"/>
        </w:rPr>
        <w:t xml:space="preserve">as últimas duas décadas da cronologia, </w:t>
      </w:r>
      <w:r w:rsidR="003E6F2C" w:rsidRPr="001D7099">
        <w:rPr>
          <w:rFonts w:ascii="Times New Roman" w:hAnsi="Times New Roman"/>
          <w:sz w:val="24"/>
          <w:szCs w:val="24"/>
        </w:rPr>
        <w:lastRenderedPageBreak/>
        <w:t xml:space="preserve">população e contributo para o ISR evoluem inversamente. Em ambos os casos, a causa é o aumento do skill premium. </w:t>
      </w:r>
      <w:r w:rsidR="00EF3490" w:rsidRPr="001D7099">
        <w:rPr>
          <w:rFonts w:ascii="Times New Roman" w:hAnsi="Times New Roman"/>
          <w:sz w:val="24"/>
          <w:szCs w:val="24"/>
        </w:rPr>
        <w:t>Notar também que, a</w:t>
      </w:r>
      <w:r w:rsidR="003E6F2C" w:rsidRPr="001D7099">
        <w:rPr>
          <w:rFonts w:ascii="Times New Roman" w:hAnsi="Times New Roman"/>
          <w:sz w:val="24"/>
          <w:szCs w:val="24"/>
        </w:rPr>
        <w:t>pesar de</w:t>
      </w:r>
      <w:r w:rsidR="007D5E8A" w:rsidRPr="001D7099">
        <w:rPr>
          <w:rFonts w:ascii="Times New Roman" w:hAnsi="Times New Roman"/>
          <w:sz w:val="24"/>
          <w:szCs w:val="24"/>
        </w:rPr>
        <w:t xml:space="preserve"> a população agrícola </w:t>
      </w:r>
      <w:r w:rsidR="0037759C" w:rsidRPr="001D7099">
        <w:rPr>
          <w:rFonts w:ascii="Times New Roman" w:hAnsi="Times New Roman"/>
          <w:sz w:val="24"/>
          <w:szCs w:val="24"/>
        </w:rPr>
        <w:t xml:space="preserve">ter sempre sido </w:t>
      </w:r>
      <w:r w:rsidR="007D5E8A" w:rsidRPr="001D7099">
        <w:rPr>
          <w:rFonts w:ascii="Times New Roman" w:hAnsi="Times New Roman"/>
          <w:sz w:val="24"/>
          <w:szCs w:val="24"/>
        </w:rPr>
        <w:t xml:space="preserve">maioritária </w:t>
      </w:r>
      <w:r w:rsidR="00C15EFA">
        <w:rPr>
          <w:rFonts w:ascii="Times New Roman" w:hAnsi="Times New Roman"/>
          <w:sz w:val="24"/>
          <w:szCs w:val="24"/>
        </w:rPr>
        <w:t xml:space="preserve">na cronologia em análise, </w:t>
      </w:r>
      <w:r w:rsidR="00EF0650" w:rsidRPr="001D7099">
        <w:rPr>
          <w:rFonts w:ascii="Times New Roman" w:hAnsi="Times New Roman"/>
          <w:sz w:val="24"/>
          <w:szCs w:val="24"/>
        </w:rPr>
        <w:t xml:space="preserve">a </w:t>
      </w:r>
      <w:r w:rsidR="007D5E8A" w:rsidRPr="001D7099">
        <w:rPr>
          <w:rFonts w:ascii="Times New Roman" w:hAnsi="Times New Roman"/>
          <w:sz w:val="24"/>
          <w:szCs w:val="24"/>
        </w:rPr>
        <w:t xml:space="preserve">componente </w:t>
      </w:r>
      <w:r w:rsidR="00EF0650" w:rsidRPr="001D7099">
        <w:rPr>
          <w:rFonts w:ascii="Times New Roman" w:hAnsi="Times New Roman"/>
          <w:sz w:val="24"/>
          <w:szCs w:val="24"/>
        </w:rPr>
        <w:t xml:space="preserve">agrícola do ISR nunca </w:t>
      </w:r>
      <w:r w:rsidR="00130C67" w:rsidRPr="001D7099">
        <w:rPr>
          <w:rFonts w:ascii="Times New Roman" w:hAnsi="Times New Roman"/>
          <w:sz w:val="24"/>
          <w:szCs w:val="24"/>
        </w:rPr>
        <w:t>superou o somatório da</w:t>
      </w:r>
      <w:r w:rsidR="0037759C" w:rsidRPr="001D7099">
        <w:rPr>
          <w:rFonts w:ascii="Times New Roman" w:hAnsi="Times New Roman"/>
          <w:sz w:val="24"/>
          <w:szCs w:val="24"/>
        </w:rPr>
        <w:t>s</w:t>
      </w:r>
      <w:r w:rsidR="00130C67" w:rsidRPr="001D7099">
        <w:rPr>
          <w:rFonts w:ascii="Times New Roman" w:hAnsi="Times New Roman"/>
          <w:sz w:val="24"/>
          <w:szCs w:val="24"/>
        </w:rPr>
        <w:t xml:space="preserve"> componente</w:t>
      </w:r>
      <w:r w:rsidR="0037759C" w:rsidRPr="001D7099">
        <w:rPr>
          <w:rFonts w:ascii="Times New Roman" w:hAnsi="Times New Roman"/>
          <w:sz w:val="24"/>
          <w:szCs w:val="24"/>
        </w:rPr>
        <w:t>s</w:t>
      </w:r>
      <w:r w:rsidR="00130C67" w:rsidRPr="001D7099">
        <w:rPr>
          <w:rFonts w:ascii="Times New Roman" w:hAnsi="Times New Roman"/>
          <w:sz w:val="24"/>
          <w:szCs w:val="24"/>
        </w:rPr>
        <w:t xml:space="preserve"> Urbana e RNAG</w:t>
      </w:r>
      <w:r w:rsidR="00351DC1" w:rsidRPr="001D7099">
        <w:rPr>
          <w:rFonts w:ascii="Times New Roman" w:hAnsi="Times New Roman"/>
          <w:sz w:val="24"/>
          <w:szCs w:val="24"/>
        </w:rPr>
        <w:t>.</w:t>
      </w:r>
      <w:r w:rsidR="00130C67" w:rsidRPr="001D7099">
        <w:rPr>
          <w:rFonts w:ascii="Times New Roman" w:hAnsi="Times New Roman"/>
          <w:sz w:val="24"/>
          <w:szCs w:val="24"/>
        </w:rPr>
        <w:t xml:space="preserve"> </w:t>
      </w:r>
      <w:r w:rsidR="0037759C" w:rsidRPr="001D7099">
        <w:rPr>
          <w:rFonts w:ascii="Times New Roman" w:hAnsi="Times New Roman"/>
          <w:sz w:val="24"/>
          <w:szCs w:val="24"/>
        </w:rPr>
        <w:t>Este</w:t>
      </w:r>
      <w:r w:rsidR="00351DC1" w:rsidRPr="001D7099">
        <w:rPr>
          <w:rFonts w:ascii="Times New Roman" w:hAnsi="Times New Roman"/>
          <w:sz w:val="24"/>
          <w:szCs w:val="24"/>
        </w:rPr>
        <w:t xml:space="preserve"> dado </w:t>
      </w:r>
      <w:r w:rsidR="007D5E8A" w:rsidRPr="001D7099">
        <w:rPr>
          <w:rFonts w:ascii="Times New Roman" w:hAnsi="Times New Roman"/>
          <w:sz w:val="24"/>
          <w:szCs w:val="24"/>
        </w:rPr>
        <w:t xml:space="preserve">realça a relevância </w:t>
      </w:r>
      <w:r w:rsidR="00130C67" w:rsidRPr="001D7099">
        <w:rPr>
          <w:rFonts w:ascii="Times New Roman" w:hAnsi="Times New Roman"/>
          <w:sz w:val="24"/>
          <w:szCs w:val="24"/>
        </w:rPr>
        <w:t xml:space="preserve">da atividade económica </w:t>
      </w:r>
      <w:r w:rsidR="007D5E8A" w:rsidRPr="001D7099">
        <w:rPr>
          <w:rFonts w:ascii="Times New Roman" w:hAnsi="Times New Roman"/>
          <w:sz w:val="24"/>
          <w:szCs w:val="24"/>
        </w:rPr>
        <w:t xml:space="preserve">não agrícola </w:t>
      </w:r>
      <w:r w:rsidR="00130C67" w:rsidRPr="001D7099">
        <w:rPr>
          <w:rFonts w:ascii="Times New Roman" w:hAnsi="Times New Roman"/>
          <w:sz w:val="24"/>
          <w:szCs w:val="24"/>
        </w:rPr>
        <w:t>na formação do rendimento</w:t>
      </w:r>
      <w:r w:rsidR="00351DC1" w:rsidRPr="001D7099">
        <w:rPr>
          <w:rFonts w:ascii="Times New Roman" w:hAnsi="Times New Roman"/>
          <w:sz w:val="24"/>
          <w:szCs w:val="24"/>
        </w:rPr>
        <w:t xml:space="preserve"> durante esta cronologia.</w:t>
      </w:r>
      <w:r w:rsidR="00130C67" w:rsidRPr="001D7099">
        <w:rPr>
          <w:rFonts w:ascii="Times New Roman" w:hAnsi="Times New Roman"/>
          <w:sz w:val="24"/>
          <w:szCs w:val="24"/>
        </w:rPr>
        <w:t xml:space="preserve"> </w:t>
      </w:r>
    </w:p>
    <w:p w14:paraId="79247FCE" w14:textId="14713141" w:rsidR="008D4CF9" w:rsidRPr="001D7099" w:rsidRDefault="00606A7A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Apesar da relativa estabilidade da taxa de urbanização, a</w:t>
      </w:r>
      <w:r w:rsidR="00136AC2" w:rsidRPr="001D7099">
        <w:rPr>
          <w:rFonts w:ascii="Times New Roman" w:hAnsi="Times New Roman"/>
          <w:sz w:val="24"/>
          <w:szCs w:val="24"/>
        </w:rPr>
        <w:t xml:space="preserve"> </w:t>
      </w:r>
      <w:r w:rsidR="00E4288F" w:rsidRPr="001D7099">
        <w:rPr>
          <w:rFonts w:ascii="Times New Roman" w:hAnsi="Times New Roman"/>
          <w:sz w:val="24"/>
          <w:szCs w:val="24"/>
        </w:rPr>
        <w:t xml:space="preserve">contribuição da </w:t>
      </w:r>
      <w:r w:rsidR="00136AC2" w:rsidRPr="001D7099">
        <w:rPr>
          <w:rFonts w:ascii="Times New Roman" w:hAnsi="Times New Roman"/>
          <w:sz w:val="24"/>
          <w:szCs w:val="24"/>
        </w:rPr>
        <w:t xml:space="preserve">categoria profissional </w:t>
      </w:r>
      <w:r w:rsidR="0037759C" w:rsidRPr="001D7099">
        <w:rPr>
          <w:rFonts w:ascii="Times New Roman" w:hAnsi="Times New Roman"/>
          <w:sz w:val="24"/>
          <w:szCs w:val="24"/>
        </w:rPr>
        <w:t>U</w:t>
      </w:r>
      <w:r w:rsidR="00136AC2" w:rsidRPr="001D7099">
        <w:rPr>
          <w:rFonts w:ascii="Times New Roman" w:hAnsi="Times New Roman"/>
          <w:sz w:val="24"/>
          <w:szCs w:val="24"/>
        </w:rPr>
        <w:t xml:space="preserve">rbana </w:t>
      </w:r>
      <w:r w:rsidR="00E43B13" w:rsidRPr="001D7099">
        <w:rPr>
          <w:rFonts w:ascii="Times New Roman" w:hAnsi="Times New Roman"/>
          <w:sz w:val="24"/>
          <w:szCs w:val="24"/>
        </w:rPr>
        <w:t xml:space="preserve">no ISR </w:t>
      </w:r>
      <w:r w:rsidR="00E4288F" w:rsidRPr="001D7099">
        <w:rPr>
          <w:rFonts w:ascii="Times New Roman" w:hAnsi="Times New Roman"/>
          <w:sz w:val="24"/>
          <w:szCs w:val="24"/>
        </w:rPr>
        <w:t>deca</w:t>
      </w:r>
      <w:r w:rsidR="0037759C" w:rsidRPr="001D7099">
        <w:rPr>
          <w:rFonts w:ascii="Times New Roman" w:hAnsi="Times New Roman"/>
          <w:sz w:val="24"/>
          <w:szCs w:val="24"/>
        </w:rPr>
        <w:t>iu</w:t>
      </w:r>
      <w:r w:rsidR="00E4288F" w:rsidRPr="001D7099">
        <w:rPr>
          <w:rFonts w:ascii="Times New Roman" w:hAnsi="Times New Roman"/>
          <w:sz w:val="24"/>
          <w:szCs w:val="24"/>
        </w:rPr>
        <w:t xml:space="preserve"> </w:t>
      </w:r>
      <w:r w:rsidR="00E43B13" w:rsidRPr="001D7099">
        <w:rPr>
          <w:rFonts w:ascii="Times New Roman" w:hAnsi="Times New Roman"/>
          <w:sz w:val="24"/>
          <w:szCs w:val="24"/>
        </w:rPr>
        <w:t xml:space="preserve">de 32% para 25% </w:t>
      </w:r>
      <w:r w:rsidR="00E4288F" w:rsidRPr="001D7099">
        <w:rPr>
          <w:rFonts w:ascii="Times New Roman" w:hAnsi="Times New Roman"/>
          <w:sz w:val="24"/>
          <w:szCs w:val="24"/>
        </w:rPr>
        <w:t xml:space="preserve">entre 1600-1720, em resultado do declínio do skill premium. </w:t>
      </w:r>
      <w:r w:rsidR="0037759C" w:rsidRPr="001D7099">
        <w:rPr>
          <w:rFonts w:ascii="Times New Roman" w:hAnsi="Times New Roman"/>
          <w:sz w:val="24"/>
          <w:szCs w:val="24"/>
        </w:rPr>
        <w:t>A tendência decrescente do skill premium só se invert</w:t>
      </w:r>
      <w:r w:rsidRPr="001D7099">
        <w:rPr>
          <w:rFonts w:ascii="Times New Roman" w:hAnsi="Times New Roman"/>
          <w:sz w:val="24"/>
          <w:szCs w:val="24"/>
        </w:rPr>
        <w:t>eu</w:t>
      </w:r>
      <w:r w:rsidR="0037759C" w:rsidRPr="001D7099">
        <w:rPr>
          <w:rFonts w:ascii="Times New Roman" w:hAnsi="Times New Roman"/>
          <w:sz w:val="24"/>
          <w:szCs w:val="24"/>
        </w:rPr>
        <w:t xml:space="preserve"> em c. 1760, mas o contributo da categoria Urbana no ISR aumenta a partir do segundo quartel do século XVIII em resultado do </w:t>
      </w:r>
      <w:r w:rsidR="00C15EFA">
        <w:rPr>
          <w:rFonts w:ascii="Times New Roman" w:hAnsi="Times New Roman"/>
          <w:sz w:val="24"/>
          <w:szCs w:val="24"/>
        </w:rPr>
        <w:t xml:space="preserve">aumento </w:t>
      </w:r>
      <w:r w:rsidR="0037759C" w:rsidRPr="001D7099">
        <w:rPr>
          <w:rFonts w:ascii="Times New Roman" w:hAnsi="Times New Roman"/>
          <w:sz w:val="24"/>
          <w:szCs w:val="24"/>
        </w:rPr>
        <w:t>expressivo da urbanização,</w:t>
      </w:r>
      <w:r w:rsidR="00E4288F" w:rsidRPr="001D7099">
        <w:rPr>
          <w:rFonts w:ascii="Times New Roman" w:hAnsi="Times New Roman"/>
          <w:sz w:val="24"/>
          <w:szCs w:val="24"/>
        </w:rPr>
        <w:t xml:space="preserve"> </w:t>
      </w:r>
      <w:r w:rsidR="00C15EFA">
        <w:rPr>
          <w:rFonts w:ascii="Times New Roman" w:hAnsi="Times New Roman"/>
          <w:sz w:val="24"/>
          <w:szCs w:val="24"/>
        </w:rPr>
        <w:t xml:space="preserve">atingindo </w:t>
      </w:r>
      <w:r w:rsidR="00E4288F" w:rsidRPr="001D7099">
        <w:rPr>
          <w:rFonts w:ascii="Times New Roman" w:hAnsi="Times New Roman"/>
          <w:sz w:val="24"/>
          <w:szCs w:val="24"/>
        </w:rPr>
        <w:t xml:space="preserve">uma contribuição </w:t>
      </w:r>
      <w:r w:rsidR="00E43B13" w:rsidRPr="001D7099">
        <w:rPr>
          <w:rFonts w:ascii="Times New Roman" w:hAnsi="Times New Roman"/>
          <w:sz w:val="24"/>
          <w:szCs w:val="24"/>
        </w:rPr>
        <w:t xml:space="preserve">de </w:t>
      </w:r>
      <w:r w:rsidR="00E4288F" w:rsidRPr="001D7099">
        <w:rPr>
          <w:rFonts w:ascii="Times New Roman" w:hAnsi="Times New Roman"/>
          <w:sz w:val="24"/>
          <w:szCs w:val="24"/>
        </w:rPr>
        <w:t>30%</w:t>
      </w:r>
      <w:r w:rsidR="00C15EFA">
        <w:rPr>
          <w:rFonts w:ascii="Times New Roman" w:hAnsi="Times New Roman"/>
          <w:sz w:val="24"/>
          <w:szCs w:val="24"/>
        </w:rPr>
        <w:t xml:space="preserve"> na formação do ISR</w:t>
      </w:r>
      <w:r w:rsidR="00E43B13" w:rsidRPr="001D7099">
        <w:rPr>
          <w:rFonts w:ascii="Times New Roman" w:hAnsi="Times New Roman"/>
          <w:sz w:val="24"/>
          <w:szCs w:val="24"/>
        </w:rPr>
        <w:t>.</w:t>
      </w:r>
      <w:r w:rsidR="008D4CF9" w:rsidRPr="001D7099">
        <w:rPr>
          <w:rFonts w:ascii="Times New Roman" w:hAnsi="Times New Roman"/>
          <w:sz w:val="24"/>
          <w:szCs w:val="24"/>
        </w:rPr>
        <w:t xml:space="preserve"> Entre 1760 e c. 1830, esse contributo mantém-se estável, apesar da ligeira queda da urbanização, o que se explica pelo aumento d</w:t>
      </w:r>
      <w:r w:rsidR="00E4288F" w:rsidRPr="001D7099">
        <w:rPr>
          <w:rFonts w:ascii="Times New Roman" w:hAnsi="Times New Roman"/>
          <w:sz w:val="24"/>
          <w:szCs w:val="24"/>
        </w:rPr>
        <w:t>o skill premium</w:t>
      </w:r>
      <w:r w:rsidR="008D4CF9" w:rsidRPr="001D7099">
        <w:rPr>
          <w:rFonts w:ascii="Times New Roman" w:hAnsi="Times New Roman"/>
          <w:sz w:val="24"/>
          <w:szCs w:val="24"/>
        </w:rPr>
        <w:t>.</w:t>
      </w:r>
      <w:r w:rsidR="00E4288F" w:rsidRPr="001D7099">
        <w:rPr>
          <w:rFonts w:ascii="Times New Roman" w:hAnsi="Times New Roman"/>
          <w:sz w:val="24"/>
          <w:szCs w:val="24"/>
        </w:rPr>
        <w:t xml:space="preserve"> </w:t>
      </w:r>
      <w:r w:rsidR="008D4CF9" w:rsidRPr="001D7099">
        <w:rPr>
          <w:rFonts w:ascii="Times New Roman" w:hAnsi="Times New Roman"/>
          <w:sz w:val="24"/>
          <w:szCs w:val="24"/>
        </w:rPr>
        <w:t xml:space="preserve">Esse </w:t>
      </w:r>
      <w:r w:rsidR="00E4288F" w:rsidRPr="001D7099">
        <w:rPr>
          <w:rFonts w:ascii="Times New Roman" w:hAnsi="Times New Roman"/>
          <w:sz w:val="24"/>
          <w:szCs w:val="24"/>
        </w:rPr>
        <w:t>efeito é mais evidente no final da cronologia</w:t>
      </w:r>
      <w:r w:rsidR="002A39CE" w:rsidRPr="001D7099">
        <w:rPr>
          <w:rFonts w:ascii="Times New Roman" w:hAnsi="Times New Roman"/>
          <w:sz w:val="24"/>
          <w:szCs w:val="24"/>
        </w:rPr>
        <w:t xml:space="preserve"> quando </w:t>
      </w:r>
      <w:r w:rsidR="00351DC1" w:rsidRPr="001D7099">
        <w:rPr>
          <w:rFonts w:ascii="Times New Roman" w:hAnsi="Times New Roman"/>
          <w:sz w:val="24"/>
          <w:szCs w:val="24"/>
        </w:rPr>
        <w:t>todos</w:t>
      </w:r>
      <w:r w:rsidR="002A39CE" w:rsidRPr="001D7099">
        <w:rPr>
          <w:rFonts w:ascii="Times New Roman" w:hAnsi="Times New Roman"/>
          <w:sz w:val="24"/>
          <w:szCs w:val="24"/>
        </w:rPr>
        <w:t xml:space="preserve"> </w:t>
      </w:r>
      <w:r w:rsidR="00351DC1" w:rsidRPr="001D7099">
        <w:rPr>
          <w:rFonts w:ascii="Times New Roman" w:hAnsi="Times New Roman"/>
          <w:sz w:val="24"/>
          <w:szCs w:val="24"/>
        </w:rPr>
        <w:t xml:space="preserve">esses </w:t>
      </w:r>
      <w:r w:rsidR="002A39CE" w:rsidRPr="001D7099">
        <w:rPr>
          <w:rFonts w:ascii="Times New Roman" w:hAnsi="Times New Roman"/>
          <w:sz w:val="24"/>
          <w:szCs w:val="24"/>
        </w:rPr>
        <w:t>fatores – skill premium</w:t>
      </w:r>
      <w:r w:rsidR="00351DC1" w:rsidRPr="001D7099">
        <w:rPr>
          <w:rFonts w:ascii="Times New Roman" w:hAnsi="Times New Roman"/>
          <w:sz w:val="24"/>
          <w:szCs w:val="24"/>
        </w:rPr>
        <w:t>,</w:t>
      </w:r>
      <w:r w:rsidR="002A39CE" w:rsidRPr="001D7099">
        <w:rPr>
          <w:rFonts w:ascii="Times New Roman" w:hAnsi="Times New Roman"/>
          <w:sz w:val="24"/>
          <w:szCs w:val="24"/>
        </w:rPr>
        <w:t xml:space="preserve"> urbanização </w:t>
      </w:r>
      <w:r w:rsidR="00351DC1" w:rsidRPr="001D7099">
        <w:rPr>
          <w:rFonts w:ascii="Times New Roman" w:hAnsi="Times New Roman"/>
          <w:sz w:val="24"/>
          <w:szCs w:val="24"/>
        </w:rPr>
        <w:t xml:space="preserve">e população </w:t>
      </w:r>
      <w:r w:rsidR="002A39CE" w:rsidRPr="001D7099">
        <w:rPr>
          <w:rFonts w:ascii="Times New Roman" w:hAnsi="Times New Roman"/>
          <w:sz w:val="24"/>
          <w:szCs w:val="24"/>
        </w:rPr>
        <w:t>– aumentam</w:t>
      </w:r>
      <w:r w:rsidR="008D4CF9" w:rsidRPr="001D7099">
        <w:rPr>
          <w:rFonts w:ascii="Times New Roman" w:hAnsi="Times New Roman"/>
          <w:sz w:val="24"/>
          <w:szCs w:val="24"/>
        </w:rPr>
        <w:t xml:space="preserve">, permitindo que o contributo urbano para ISR alcance 35% em c. </w:t>
      </w:r>
      <w:r w:rsidR="00351DC1" w:rsidRPr="001D7099">
        <w:rPr>
          <w:rFonts w:ascii="Times New Roman" w:hAnsi="Times New Roman"/>
          <w:sz w:val="24"/>
          <w:szCs w:val="24"/>
        </w:rPr>
        <w:t>1850</w:t>
      </w:r>
      <w:r w:rsidR="008D4CF9" w:rsidRPr="001D7099">
        <w:rPr>
          <w:rFonts w:ascii="Times New Roman" w:hAnsi="Times New Roman"/>
          <w:sz w:val="24"/>
          <w:szCs w:val="24"/>
        </w:rPr>
        <w:t>.</w:t>
      </w:r>
      <w:r w:rsidR="002A39CE" w:rsidRPr="001D7099">
        <w:rPr>
          <w:rFonts w:ascii="Times New Roman" w:hAnsi="Times New Roman"/>
          <w:sz w:val="24"/>
          <w:szCs w:val="24"/>
        </w:rPr>
        <w:t xml:space="preserve"> </w:t>
      </w:r>
    </w:p>
    <w:p w14:paraId="3D51727F" w14:textId="17FD7390" w:rsidR="005D6906" w:rsidRPr="001D7099" w:rsidRDefault="00094CE2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No século XVII</w:t>
      </w:r>
      <w:r w:rsidR="00F06ED0" w:rsidRPr="001D7099">
        <w:rPr>
          <w:rFonts w:ascii="Times New Roman" w:hAnsi="Times New Roman"/>
          <w:sz w:val="24"/>
          <w:szCs w:val="24"/>
        </w:rPr>
        <w:t xml:space="preserve">, a contribuição da categoria RNAG para o ISR aumentou </w:t>
      </w:r>
      <w:r w:rsidRPr="001D7099">
        <w:rPr>
          <w:rFonts w:ascii="Times New Roman" w:hAnsi="Times New Roman"/>
          <w:sz w:val="24"/>
          <w:szCs w:val="24"/>
        </w:rPr>
        <w:t xml:space="preserve">cerca </w:t>
      </w:r>
      <w:r w:rsidR="00F06ED0" w:rsidRPr="001D7099">
        <w:rPr>
          <w:rFonts w:ascii="Times New Roman" w:hAnsi="Times New Roman"/>
          <w:sz w:val="24"/>
          <w:szCs w:val="24"/>
        </w:rPr>
        <w:t xml:space="preserve">de 50%, </w:t>
      </w:r>
      <w:r w:rsidRPr="001D7099">
        <w:rPr>
          <w:rFonts w:ascii="Times New Roman" w:hAnsi="Times New Roman"/>
          <w:sz w:val="24"/>
          <w:szCs w:val="24"/>
        </w:rPr>
        <w:t xml:space="preserve">passando de </w:t>
      </w:r>
      <w:r w:rsidR="001E1835" w:rsidRPr="001D7099">
        <w:rPr>
          <w:rFonts w:ascii="Times New Roman" w:hAnsi="Times New Roman"/>
          <w:sz w:val="24"/>
          <w:szCs w:val="24"/>
        </w:rPr>
        <w:t>24</w:t>
      </w:r>
      <w:r w:rsidRPr="001D7099">
        <w:rPr>
          <w:rFonts w:ascii="Times New Roman" w:hAnsi="Times New Roman"/>
          <w:sz w:val="24"/>
          <w:szCs w:val="24"/>
        </w:rPr>
        <w:t xml:space="preserve">% para 36%, </w:t>
      </w:r>
      <w:r w:rsidR="0057070A" w:rsidRPr="001D7099">
        <w:rPr>
          <w:rFonts w:ascii="Times New Roman" w:hAnsi="Times New Roman"/>
          <w:sz w:val="24"/>
          <w:szCs w:val="24"/>
        </w:rPr>
        <w:t xml:space="preserve">ultrapassando </w:t>
      </w:r>
      <w:r w:rsidR="00606A7A" w:rsidRPr="001D7099">
        <w:rPr>
          <w:rFonts w:ascii="Times New Roman" w:hAnsi="Times New Roman"/>
          <w:sz w:val="24"/>
          <w:szCs w:val="24"/>
        </w:rPr>
        <w:t xml:space="preserve">mesmo </w:t>
      </w:r>
      <w:r w:rsidR="0057070A" w:rsidRPr="001D7099">
        <w:rPr>
          <w:rFonts w:ascii="Times New Roman" w:hAnsi="Times New Roman"/>
          <w:sz w:val="24"/>
          <w:szCs w:val="24"/>
        </w:rPr>
        <w:t xml:space="preserve">a categoria Urbana a partir de c. 1630. Esta evolução </w:t>
      </w:r>
      <w:r w:rsidR="00F06ED0" w:rsidRPr="001D7099">
        <w:rPr>
          <w:rFonts w:ascii="Times New Roman" w:hAnsi="Times New Roman"/>
          <w:sz w:val="24"/>
          <w:szCs w:val="24"/>
        </w:rPr>
        <w:t>é ligeiramente inferior ao aumento da fração populacional desta categoria</w:t>
      </w:r>
      <w:r w:rsidR="001E1835" w:rsidRPr="001D7099">
        <w:rPr>
          <w:rFonts w:ascii="Times New Roman" w:hAnsi="Times New Roman"/>
          <w:sz w:val="24"/>
          <w:szCs w:val="24"/>
        </w:rPr>
        <w:t xml:space="preserve"> devido à tendência de declínio </w:t>
      </w:r>
      <w:r w:rsidR="00001870" w:rsidRPr="001D7099">
        <w:rPr>
          <w:rFonts w:ascii="Times New Roman" w:hAnsi="Times New Roman"/>
          <w:sz w:val="24"/>
          <w:szCs w:val="24"/>
        </w:rPr>
        <w:t>do skill premium</w:t>
      </w:r>
      <w:r w:rsidR="001E1835" w:rsidRPr="001D7099">
        <w:rPr>
          <w:rFonts w:ascii="Times New Roman" w:hAnsi="Times New Roman"/>
          <w:sz w:val="24"/>
          <w:szCs w:val="24"/>
        </w:rPr>
        <w:t xml:space="preserve">. </w:t>
      </w:r>
      <w:r w:rsidR="00001870" w:rsidRPr="001D7099">
        <w:rPr>
          <w:rFonts w:ascii="Times New Roman" w:hAnsi="Times New Roman"/>
          <w:sz w:val="24"/>
          <w:szCs w:val="24"/>
        </w:rPr>
        <w:t xml:space="preserve">Durante o século XVIII, a contribuição desta categoria </w:t>
      </w:r>
      <w:r w:rsidR="00DE1179" w:rsidRPr="001D7099">
        <w:rPr>
          <w:rFonts w:ascii="Times New Roman" w:hAnsi="Times New Roman"/>
          <w:sz w:val="24"/>
          <w:szCs w:val="24"/>
        </w:rPr>
        <w:t xml:space="preserve">profissional manteve-se estável </w:t>
      </w:r>
      <w:r w:rsidR="0037759C" w:rsidRPr="001D7099">
        <w:rPr>
          <w:rFonts w:ascii="Times New Roman" w:hAnsi="Times New Roman"/>
          <w:sz w:val="24"/>
          <w:szCs w:val="24"/>
        </w:rPr>
        <w:t xml:space="preserve">na vizinhança de </w:t>
      </w:r>
      <w:r w:rsidR="00DE1179" w:rsidRPr="001D7099">
        <w:rPr>
          <w:rFonts w:ascii="Times New Roman" w:hAnsi="Times New Roman"/>
          <w:sz w:val="24"/>
          <w:szCs w:val="24"/>
        </w:rPr>
        <w:t>35%</w:t>
      </w:r>
      <w:r w:rsidR="0057070A" w:rsidRPr="001D7099">
        <w:rPr>
          <w:rFonts w:ascii="Times New Roman" w:hAnsi="Times New Roman"/>
          <w:sz w:val="24"/>
          <w:szCs w:val="24"/>
        </w:rPr>
        <w:t xml:space="preserve">. Contudo, na </w:t>
      </w:r>
      <w:r w:rsidR="00001870" w:rsidRPr="001D7099">
        <w:rPr>
          <w:rFonts w:ascii="Times New Roman" w:hAnsi="Times New Roman"/>
          <w:sz w:val="24"/>
          <w:szCs w:val="24"/>
        </w:rPr>
        <w:t xml:space="preserve">primeira metade do século XIX </w:t>
      </w:r>
      <w:r w:rsidR="001E1835" w:rsidRPr="001D7099">
        <w:rPr>
          <w:rFonts w:ascii="Times New Roman" w:hAnsi="Times New Roman"/>
          <w:sz w:val="24"/>
          <w:szCs w:val="24"/>
        </w:rPr>
        <w:t xml:space="preserve">ocorre </w:t>
      </w:r>
      <w:r w:rsidR="0057070A" w:rsidRPr="001D7099">
        <w:rPr>
          <w:rFonts w:ascii="Times New Roman" w:hAnsi="Times New Roman"/>
          <w:sz w:val="24"/>
          <w:szCs w:val="24"/>
        </w:rPr>
        <w:t xml:space="preserve">um </w:t>
      </w:r>
      <w:r w:rsidR="00001870" w:rsidRPr="001D7099">
        <w:rPr>
          <w:rFonts w:ascii="Times New Roman" w:hAnsi="Times New Roman"/>
          <w:sz w:val="24"/>
          <w:szCs w:val="24"/>
        </w:rPr>
        <w:t xml:space="preserve">declínio </w:t>
      </w:r>
      <w:r w:rsidR="001E1835" w:rsidRPr="001D7099">
        <w:rPr>
          <w:rFonts w:ascii="Times New Roman" w:hAnsi="Times New Roman"/>
          <w:sz w:val="24"/>
          <w:szCs w:val="24"/>
        </w:rPr>
        <w:t xml:space="preserve">muito </w:t>
      </w:r>
      <w:r w:rsidR="00001870" w:rsidRPr="001D7099">
        <w:rPr>
          <w:rFonts w:ascii="Times New Roman" w:hAnsi="Times New Roman"/>
          <w:sz w:val="24"/>
          <w:szCs w:val="24"/>
        </w:rPr>
        <w:t>expressivo, acompanhando a queda da fração populacional respetiva</w:t>
      </w:r>
      <w:r w:rsidR="00DE1179" w:rsidRPr="001D7099">
        <w:rPr>
          <w:rFonts w:ascii="Times New Roman" w:hAnsi="Times New Roman"/>
          <w:sz w:val="24"/>
          <w:szCs w:val="24"/>
        </w:rPr>
        <w:t>: em c. 18</w:t>
      </w:r>
      <w:r w:rsidR="00351DC1" w:rsidRPr="001D7099">
        <w:rPr>
          <w:rFonts w:ascii="Times New Roman" w:hAnsi="Times New Roman"/>
          <w:sz w:val="24"/>
          <w:szCs w:val="24"/>
        </w:rPr>
        <w:t>50</w:t>
      </w:r>
      <w:r w:rsidR="00DE1179" w:rsidRPr="001D7099">
        <w:rPr>
          <w:rFonts w:ascii="Times New Roman" w:hAnsi="Times New Roman"/>
          <w:sz w:val="24"/>
          <w:szCs w:val="24"/>
        </w:rPr>
        <w:t xml:space="preserve">, o contributo da categoria RNAG na formação do ISR </w:t>
      </w:r>
      <w:r w:rsidR="0057070A" w:rsidRPr="001D7099">
        <w:rPr>
          <w:rFonts w:ascii="Times New Roman" w:hAnsi="Times New Roman"/>
          <w:sz w:val="24"/>
          <w:szCs w:val="24"/>
        </w:rPr>
        <w:t xml:space="preserve">regredira </w:t>
      </w:r>
      <w:r w:rsidR="00DE1179" w:rsidRPr="001D7099">
        <w:rPr>
          <w:rFonts w:ascii="Times New Roman" w:hAnsi="Times New Roman"/>
          <w:sz w:val="24"/>
          <w:szCs w:val="24"/>
        </w:rPr>
        <w:t xml:space="preserve">para </w:t>
      </w:r>
      <w:r w:rsidR="0057070A" w:rsidRPr="001D7099">
        <w:rPr>
          <w:rFonts w:ascii="Times New Roman" w:hAnsi="Times New Roman"/>
          <w:sz w:val="24"/>
          <w:szCs w:val="24"/>
        </w:rPr>
        <w:t>22%</w:t>
      </w:r>
      <w:r w:rsidR="00DE1179" w:rsidRPr="001D7099">
        <w:rPr>
          <w:rFonts w:ascii="Times New Roman" w:hAnsi="Times New Roman"/>
          <w:sz w:val="24"/>
          <w:szCs w:val="24"/>
        </w:rPr>
        <w:t xml:space="preserve">, </w:t>
      </w:r>
      <w:r w:rsidR="0037759C" w:rsidRPr="001D7099">
        <w:rPr>
          <w:rFonts w:ascii="Times New Roman" w:hAnsi="Times New Roman"/>
          <w:sz w:val="24"/>
          <w:szCs w:val="24"/>
        </w:rPr>
        <w:t>valor mínimo desta cronologia</w:t>
      </w:r>
      <w:r w:rsidR="00001870" w:rsidRPr="001D7099">
        <w:rPr>
          <w:rFonts w:ascii="Times New Roman" w:hAnsi="Times New Roman"/>
          <w:sz w:val="24"/>
          <w:szCs w:val="24"/>
        </w:rPr>
        <w:t xml:space="preserve">. </w:t>
      </w:r>
    </w:p>
    <w:p w14:paraId="21C77EEF" w14:textId="615003D3" w:rsidR="00D55BC9" w:rsidRPr="001D7099" w:rsidRDefault="002D0EB9" w:rsidP="00C15EFA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É também possível desagregar</w:t>
      </w:r>
      <w:r w:rsidR="009F2048" w:rsidRPr="001D7099">
        <w:rPr>
          <w:rFonts w:ascii="Times New Roman" w:hAnsi="Times New Roman"/>
          <w:sz w:val="24"/>
          <w:szCs w:val="24"/>
        </w:rPr>
        <w:t>, aproximadamente,</w:t>
      </w:r>
      <w:r w:rsidRPr="001D7099">
        <w:rPr>
          <w:rFonts w:ascii="Times New Roman" w:hAnsi="Times New Roman"/>
          <w:sz w:val="24"/>
          <w:szCs w:val="24"/>
        </w:rPr>
        <w:t xml:space="preserve"> o PIB nas três categorias profissionais consideradas, seguindo a metodologia </w:t>
      </w:r>
      <w:r w:rsidR="009F2048" w:rsidRPr="001D7099">
        <w:rPr>
          <w:rFonts w:ascii="Times New Roman" w:hAnsi="Times New Roman"/>
          <w:sz w:val="24"/>
          <w:szCs w:val="24"/>
        </w:rPr>
        <w:t>mencionada no início desta secção</w:t>
      </w:r>
      <w:r w:rsidR="004B4BA8">
        <w:rPr>
          <w:rFonts w:ascii="Times New Roman" w:hAnsi="Times New Roman"/>
          <w:sz w:val="24"/>
          <w:szCs w:val="24"/>
        </w:rPr>
        <w:t xml:space="preserve"> (Gráfico 2)</w:t>
      </w:r>
      <w:r w:rsidR="00015D24" w:rsidRPr="001D7099">
        <w:rPr>
          <w:rFonts w:ascii="Times New Roman" w:hAnsi="Times New Roman"/>
          <w:sz w:val="24"/>
          <w:szCs w:val="24"/>
        </w:rPr>
        <w:t xml:space="preserve">. </w:t>
      </w:r>
    </w:p>
    <w:p w14:paraId="06527F02" w14:textId="7B05B79B" w:rsidR="00D874FA" w:rsidRPr="00694E7A" w:rsidRDefault="000D7998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694E7A">
        <w:rPr>
          <w:rFonts w:ascii="Times New Roman" w:hAnsi="Times New Roman"/>
          <w:b/>
          <w:bCs/>
          <w:sz w:val="22"/>
          <w:szCs w:val="22"/>
        </w:rPr>
        <w:lastRenderedPageBreak/>
        <w:t>Gráfico</w:t>
      </w:r>
      <w:r w:rsidR="00351DC1" w:rsidRPr="00694E7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51DC1" w:rsidRPr="00694E7A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="00351DC1" w:rsidRPr="00694E7A">
        <w:rPr>
          <w:rFonts w:ascii="Times New Roman" w:hAnsi="Times New Roman"/>
          <w:b/>
          <w:bCs/>
          <w:sz w:val="22"/>
          <w:szCs w:val="22"/>
        </w:rPr>
        <w:instrText xml:space="preserve"> SEQ Quadro \* ARABIC </w:instrText>
      </w:r>
      <w:r w:rsidR="00351DC1" w:rsidRPr="00694E7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F535A2" w:rsidRPr="00694E7A">
        <w:rPr>
          <w:rFonts w:ascii="Times New Roman" w:hAnsi="Times New Roman"/>
          <w:b/>
          <w:bCs/>
          <w:noProof/>
          <w:sz w:val="22"/>
          <w:szCs w:val="22"/>
        </w:rPr>
        <w:t>2</w:t>
      </w:r>
      <w:r w:rsidR="00351DC1" w:rsidRPr="00694E7A"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351DC1" w:rsidRPr="00694E7A">
        <w:rPr>
          <w:rFonts w:ascii="Times New Roman" w:hAnsi="Times New Roman"/>
          <w:sz w:val="22"/>
          <w:szCs w:val="22"/>
        </w:rPr>
        <w:t xml:space="preserve">: </w:t>
      </w:r>
      <w:r w:rsidR="00D874FA" w:rsidRPr="00694E7A">
        <w:rPr>
          <w:rFonts w:ascii="Times New Roman" w:hAnsi="Times New Roman"/>
          <w:b/>
          <w:bCs/>
          <w:sz w:val="22"/>
          <w:szCs w:val="22"/>
        </w:rPr>
        <w:t>PIB Setorial (</w:t>
      </w:r>
      <w:r w:rsidR="009F2048" w:rsidRPr="00694E7A">
        <w:rPr>
          <w:rFonts w:ascii="Times New Roman" w:hAnsi="Times New Roman"/>
          <w:b/>
          <w:bCs/>
          <w:sz w:val="22"/>
          <w:szCs w:val="22"/>
        </w:rPr>
        <w:t>y</w:t>
      </w:r>
      <w:r w:rsidR="00D874FA" w:rsidRPr="00694E7A">
        <w:rPr>
          <w:rFonts w:ascii="Times New Roman" w:hAnsi="Times New Roman"/>
          <w:b/>
          <w:bCs/>
          <w:sz w:val="22"/>
          <w:szCs w:val="22"/>
        </w:rPr>
        <w:t>1) e PIB (</w:t>
      </w:r>
      <w:r w:rsidR="009F2048" w:rsidRPr="00694E7A">
        <w:rPr>
          <w:rFonts w:ascii="Times New Roman" w:hAnsi="Times New Roman"/>
          <w:b/>
          <w:bCs/>
          <w:sz w:val="22"/>
          <w:szCs w:val="22"/>
        </w:rPr>
        <w:t>y</w:t>
      </w:r>
      <w:r w:rsidR="00D874FA" w:rsidRPr="00694E7A">
        <w:rPr>
          <w:rFonts w:ascii="Times New Roman" w:hAnsi="Times New Roman"/>
          <w:b/>
          <w:bCs/>
          <w:sz w:val="22"/>
          <w:szCs w:val="22"/>
        </w:rPr>
        <w:t xml:space="preserve">2) (1600-1845) </w:t>
      </w:r>
    </w:p>
    <w:p w14:paraId="62E9F1A2" w14:textId="36CF29F4" w:rsidR="00D874FA" w:rsidRPr="001D7099" w:rsidRDefault="00351DC1" w:rsidP="008906F1">
      <w:pPr>
        <w:spacing w:line="48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F58BEA" wp14:editId="4F01B104">
            <wp:extent cx="5111256" cy="313222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7"/>
                    <a:stretch/>
                  </pic:blipFill>
                  <pic:spPr bwMode="auto">
                    <a:xfrm>
                      <a:off x="0" y="0"/>
                      <a:ext cx="5112000" cy="313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67ECC" w14:textId="40175BAC" w:rsidR="00896C62" w:rsidRPr="00694E7A" w:rsidRDefault="00896C62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C15EFA">
        <w:rPr>
          <w:rFonts w:ascii="Times New Roman" w:hAnsi="Times New Roman"/>
          <w:b/>
          <w:bCs/>
          <w:sz w:val="22"/>
          <w:szCs w:val="22"/>
        </w:rPr>
        <w:t xml:space="preserve">Fontes: </w:t>
      </w:r>
      <w:r w:rsidRPr="004B4BA8">
        <w:rPr>
          <w:rFonts w:ascii="Times New Roman" w:hAnsi="Times New Roman"/>
          <w:sz w:val="22"/>
          <w:szCs w:val="22"/>
        </w:rPr>
        <w:t>V</w:t>
      </w:r>
      <w:r w:rsidR="008906F1" w:rsidRPr="004B4BA8">
        <w:rPr>
          <w:rFonts w:ascii="Times New Roman" w:hAnsi="Times New Roman"/>
          <w:sz w:val="22"/>
          <w:szCs w:val="22"/>
        </w:rPr>
        <w:t>er</w:t>
      </w:r>
      <w:r w:rsidRPr="004B4BA8">
        <w:rPr>
          <w:rFonts w:ascii="Times New Roman" w:hAnsi="Times New Roman"/>
          <w:sz w:val="22"/>
          <w:szCs w:val="22"/>
        </w:rPr>
        <w:t xml:space="preserve"> Texto</w:t>
      </w:r>
      <w:r w:rsidR="004B4BA8">
        <w:rPr>
          <w:rFonts w:ascii="Times New Roman" w:hAnsi="Times New Roman"/>
          <w:sz w:val="22"/>
          <w:szCs w:val="22"/>
        </w:rPr>
        <w:t xml:space="preserve">. </w:t>
      </w:r>
      <w:r w:rsidR="004B4BA8" w:rsidRPr="00281AFC">
        <w:rPr>
          <w:rFonts w:ascii="Times New Roman" w:hAnsi="Times New Roman"/>
          <w:b/>
          <w:bCs/>
          <w:sz w:val="22"/>
          <w:szCs w:val="22"/>
        </w:rPr>
        <w:t>Nota</w:t>
      </w:r>
      <w:r w:rsidR="004B4BA8" w:rsidRPr="00281AFC">
        <w:rPr>
          <w:rFonts w:ascii="Times New Roman" w:hAnsi="Times New Roman"/>
          <w:sz w:val="22"/>
          <w:szCs w:val="22"/>
        </w:rPr>
        <w:t xml:space="preserve">: </w:t>
      </w:r>
      <w:r w:rsidR="004B4BA8">
        <w:rPr>
          <w:rFonts w:ascii="Times New Roman" w:hAnsi="Times New Roman"/>
          <w:sz w:val="22"/>
          <w:szCs w:val="22"/>
        </w:rPr>
        <w:t>M</w:t>
      </w:r>
      <w:r w:rsidR="004B4BA8" w:rsidRPr="00281AFC">
        <w:rPr>
          <w:rFonts w:ascii="Times New Roman" w:hAnsi="Times New Roman"/>
          <w:sz w:val="22"/>
          <w:szCs w:val="22"/>
        </w:rPr>
        <w:t>édias centradas a 5 anos.</w:t>
      </w:r>
    </w:p>
    <w:p w14:paraId="68C9D27F" w14:textId="77777777" w:rsidR="009F2048" w:rsidRPr="001D7099" w:rsidRDefault="009F2048" w:rsidP="009A3EEE">
      <w:pPr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14:paraId="4D48503A" w14:textId="0C39C74F" w:rsidR="00C15EFA" w:rsidRPr="001D7099" w:rsidRDefault="00C15EFA" w:rsidP="00C15EFA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A evolução da distribuição setorial do PIB pode ser caracterizada em três períodos distintos. Entre 1600-1750, a contribuição do PIB não agrícola cresce</w:t>
      </w:r>
      <w:r w:rsidR="004B4BA8">
        <w:rPr>
          <w:rFonts w:ascii="Times New Roman" w:hAnsi="Times New Roman"/>
          <w:sz w:val="24"/>
          <w:szCs w:val="24"/>
        </w:rPr>
        <w:t>u</w:t>
      </w:r>
      <w:r w:rsidRPr="001D7099">
        <w:rPr>
          <w:rFonts w:ascii="Times New Roman" w:hAnsi="Times New Roman"/>
          <w:sz w:val="24"/>
          <w:szCs w:val="24"/>
        </w:rPr>
        <w:t xml:space="preserve"> significativamente, passando de 51% para 64% do produto</w:t>
      </w:r>
      <w:r w:rsidR="004B4B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>A aumento da importância das categorias profissionais qualificadas coincide com o período de crescimento mais acelerado d</w:t>
      </w:r>
      <w:r w:rsidR="004B4BA8">
        <w:rPr>
          <w:rFonts w:ascii="Times New Roman" w:hAnsi="Times New Roman"/>
          <w:sz w:val="24"/>
          <w:szCs w:val="24"/>
        </w:rPr>
        <w:t>o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4B4BA8">
        <w:rPr>
          <w:rFonts w:ascii="Times New Roman" w:hAnsi="Times New Roman"/>
          <w:sz w:val="24"/>
          <w:szCs w:val="24"/>
        </w:rPr>
        <w:t xml:space="preserve">PIB </w:t>
      </w:r>
      <w:r w:rsidRPr="001D7099">
        <w:rPr>
          <w:rFonts w:ascii="Times New Roman" w:hAnsi="Times New Roman"/>
          <w:sz w:val="24"/>
          <w:szCs w:val="24"/>
        </w:rPr>
        <w:t>(+129%). O crescimento do PAB no mesmo período, foi inferior (+77%) embora tenha ocorrido num contexto, não só de perda da importância relativa da categoria profissional agrícola, como, na primeira metade dos Setecentos, de diminuição efetiva da população agrícola</w:t>
      </w:r>
      <w:r w:rsidRPr="001D7099">
        <w:rPr>
          <w:rStyle w:val="FootnoteReference"/>
          <w:rFonts w:ascii="Times New Roman" w:hAnsi="Times New Roman"/>
          <w:sz w:val="24"/>
          <w:szCs w:val="24"/>
        </w:rPr>
        <w:footnoteReference w:id="16"/>
      </w:r>
      <w:r w:rsidRPr="001D7099">
        <w:rPr>
          <w:rFonts w:ascii="Times New Roman" w:hAnsi="Times New Roman"/>
          <w:sz w:val="24"/>
          <w:szCs w:val="24"/>
        </w:rPr>
        <w:t xml:space="preserve">. </w:t>
      </w:r>
    </w:p>
    <w:p w14:paraId="21390B6C" w14:textId="3293D382" w:rsidR="00C74AC6" w:rsidRDefault="00606A7A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Entre 1750 e c. 1790, a repartição setorial do PIB mante</w:t>
      </w:r>
      <w:r w:rsidR="004B4BA8">
        <w:rPr>
          <w:rFonts w:ascii="Times New Roman" w:hAnsi="Times New Roman"/>
          <w:sz w:val="24"/>
          <w:szCs w:val="24"/>
        </w:rPr>
        <w:t>ve</w:t>
      </w:r>
      <w:r w:rsidRPr="001D7099">
        <w:rPr>
          <w:rFonts w:ascii="Times New Roman" w:hAnsi="Times New Roman"/>
          <w:sz w:val="24"/>
          <w:szCs w:val="24"/>
        </w:rPr>
        <w:t xml:space="preserve">-se estável, com a componente não agrícola do PIB a representar sempre mais de 62% do produto. Contudo, </w:t>
      </w:r>
      <w:r w:rsidR="004B4BA8">
        <w:rPr>
          <w:rFonts w:ascii="Times New Roman" w:hAnsi="Times New Roman"/>
          <w:sz w:val="24"/>
          <w:szCs w:val="24"/>
        </w:rPr>
        <w:t xml:space="preserve">como discutido em </w:t>
      </w:r>
      <w:r w:rsidR="004B4BA8">
        <w:rPr>
          <w:rFonts w:ascii="Times New Roman" w:hAnsi="Times New Roman"/>
          <w:sz w:val="24"/>
          <w:szCs w:val="24"/>
        </w:rPr>
        <w:fldChar w:fldCharType="begin"/>
      </w:r>
      <w:r w:rsidR="004B4BA8">
        <w:rPr>
          <w:rFonts w:ascii="Times New Roman" w:hAnsi="Times New Roman"/>
          <w:sz w:val="24"/>
          <w:szCs w:val="24"/>
        </w:rPr>
        <w:instrText xml:space="preserve"> REF _Ref130984935 \r \h </w:instrText>
      </w:r>
      <w:r w:rsidR="004B4BA8">
        <w:rPr>
          <w:rFonts w:ascii="Times New Roman" w:hAnsi="Times New Roman"/>
          <w:sz w:val="24"/>
          <w:szCs w:val="24"/>
        </w:rPr>
      </w:r>
      <w:r w:rsidR="004B4BA8">
        <w:rPr>
          <w:rFonts w:ascii="Times New Roman" w:hAnsi="Times New Roman"/>
          <w:sz w:val="24"/>
          <w:szCs w:val="24"/>
        </w:rPr>
        <w:fldChar w:fldCharType="separate"/>
      </w:r>
      <w:r w:rsidR="004B4BA8">
        <w:rPr>
          <w:rFonts w:ascii="Times New Roman" w:hAnsi="Times New Roman"/>
          <w:sz w:val="24"/>
          <w:szCs w:val="24"/>
        </w:rPr>
        <w:t>2.2</w:t>
      </w:r>
      <w:r w:rsidR="004B4BA8">
        <w:rPr>
          <w:rFonts w:ascii="Times New Roman" w:hAnsi="Times New Roman"/>
          <w:sz w:val="24"/>
          <w:szCs w:val="24"/>
        </w:rPr>
        <w:fldChar w:fldCharType="end"/>
      </w:r>
      <w:r w:rsidR="004B4BA8">
        <w:rPr>
          <w:rFonts w:ascii="Times New Roman" w:hAnsi="Times New Roman"/>
          <w:sz w:val="24"/>
          <w:szCs w:val="24"/>
        </w:rPr>
        <w:t xml:space="preserve">, </w:t>
      </w:r>
      <w:r w:rsidRPr="001D7099">
        <w:rPr>
          <w:rFonts w:ascii="Times New Roman" w:hAnsi="Times New Roman"/>
          <w:sz w:val="24"/>
          <w:szCs w:val="24"/>
        </w:rPr>
        <w:t>essa morfologia de atividade económica não conduziu a qualquer crescimento</w:t>
      </w:r>
      <w:r w:rsidR="004B4BA8">
        <w:rPr>
          <w:rFonts w:ascii="Times New Roman" w:hAnsi="Times New Roman"/>
          <w:sz w:val="24"/>
          <w:szCs w:val="24"/>
        </w:rPr>
        <w:t xml:space="preserve">. 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4B4BA8">
        <w:rPr>
          <w:rFonts w:ascii="Times New Roman" w:hAnsi="Times New Roman"/>
          <w:sz w:val="24"/>
          <w:szCs w:val="24"/>
        </w:rPr>
        <w:t xml:space="preserve">Foi, </w:t>
      </w:r>
      <w:r w:rsidR="004B4BA8">
        <w:rPr>
          <w:rFonts w:ascii="Times New Roman" w:hAnsi="Times New Roman"/>
          <w:sz w:val="24"/>
          <w:szCs w:val="24"/>
        </w:rPr>
        <w:lastRenderedPageBreak/>
        <w:t xml:space="preserve">portanto, com a mesma estrutura ocupacional da população (e o mesmo perfil de formação do ISR) que a forte contração económica </w:t>
      </w:r>
      <w:r w:rsidR="00C74AC6">
        <w:rPr>
          <w:rFonts w:ascii="Times New Roman" w:hAnsi="Times New Roman"/>
          <w:sz w:val="24"/>
          <w:szCs w:val="24"/>
        </w:rPr>
        <w:t xml:space="preserve">do final do </w:t>
      </w:r>
      <w:r w:rsidR="004B4BA8">
        <w:rPr>
          <w:rFonts w:ascii="Times New Roman" w:hAnsi="Times New Roman"/>
          <w:sz w:val="24"/>
          <w:szCs w:val="24"/>
        </w:rPr>
        <w:t>século XVIII</w:t>
      </w:r>
      <w:r w:rsidR="00C74AC6">
        <w:rPr>
          <w:rFonts w:ascii="Times New Roman" w:hAnsi="Times New Roman"/>
          <w:sz w:val="24"/>
          <w:szCs w:val="24"/>
        </w:rPr>
        <w:t xml:space="preserve"> se </w:t>
      </w:r>
      <w:r w:rsidR="009A3EEE">
        <w:rPr>
          <w:rFonts w:ascii="Times New Roman" w:hAnsi="Times New Roman"/>
          <w:sz w:val="24"/>
          <w:szCs w:val="24"/>
        </w:rPr>
        <w:t>produziu</w:t>
      </w:r>
      <w:r w:rsidR="004B4BA8">
        <w:rPr>
          <w:rFonts w:ascii="Times New Roman" w:hAnsi="Times New Roman"/>
          <w:sz w:val="24"/>
          <w:szCs w:val="24"/>
        </w:rPr>
        <w:t xml:space="preserve">. </w:t>
      </w:r>
    </w:p>
    <w:p w14:paraId="7BCF3148" w14:textId="6FF9042F" w:rsidR="00C30872" w:rsidRPr="001D7099" w:rsidRDefault="00D9626E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Entre c. 1790 e c. 1850, </w:t>
      </w:r>
      <w:r w:rsidR="002C5FCF" w:rsidRPr="001D7099">
        <w:rPr>
          <w:rFonts w:ascii="Times New Roman" w:hAnsi="Times New Roman"/>
          <w:sz w:val="24"/>
          <w:szCs w:val="24"/>
        </w:rPr>
        <w:t xml:space="preserve">a </w:t>
      </w:r>
      <w:r w:rsidRPr="001D7099">
        <w:rPr>
          <w:rFonts w:ascii="Times New Roman" w:hAnsi="Times New Roman"/>
          <w:sz w:val="24"/>
          <w:szCs w:val="24"/>
        </w:rPr>
        <w:t xml:space="preserve">componente </w:t>
      </w:r>
      <w:r w:rsidR="00DD458F" w:rsidRPr="001D7099">
        <w:rPr>
          <w:rFonts w:ascii="Times New Roman" w:hAnsi="Times New Roman"/>
          <w:sz w:val="24"/>
          <w:szCs w:val="24"/>
        </w:rPr>
        <w:t xml:space="preserve">não agrícola do PIB </w:t>
      </w:r>
      <w:r w:rsidRPr="001D7099">
        <w:rPr>
          <w:rFonts w:ascii="Times New Roman" w:hAnsi="Times New Roman"/>
          <w:sz w:val="24"/>
          <w:szCs w:val="24"/>
        </w:rPr>
        <w:t>reduz</w:t>
      </w:r>
      <w:r w:rsidR="002C5FCF" w:rsidRPr="001D7099">
        <w:rPr>
          <w:rFonts w:ascii="Times New Roman" w:hAnsi="Times New Roman"/>
          <w:sz w:val="24"/>
          <w:szCs w:val="24"/>
        </w:rPr>
        <w:t>-se</w:t>
      </w:r>
      <w:r w:rsidRPr="001D7099">
        <w:rPr>
          <w:rFonts w:ascii="Times New Roman" w:hAnsi="Times New Roman"/>
          <w:sz w:val="24"/>
          <w:szCs w:val="24"/>
        </w:rPr>
        <w:t xml:space="preserve"> para 54%</w:t>
      </w:r>
      <w:r w:rsidR="002C5FCF" w:rsidRPr="001D7099">
        <w:rPr>
          <w:rFonts w:ascii="Times New Roman" w:hAnsi="Times New Roman"/>
          <w:sz w:val="24"/>
          <w:szCs w:val="24"/>
        </w:rPr>
        <w:t>,</w:t>
      </w: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896C62" w:rsidRPr="001D7099">
        <w:rPr>
          <w:rFonts w:ascii="Times New Roman" w:hAnsi="Times New Roman"/>
          <w:sz w:val="24"/>
          <w:szCs w:val="24"/>
        </w:rPr>
        <w:t xml:space="preserve">proporção idêntica à </w:t>
      </w:r>
      <w:r w:rsidR="002C5FCF" w:rsidRPr="001D7099">
        <w:rPr>
          <w:rFonts w:ascii="Times New Roman" w:hAnsi="Times New Roman"/>
          <w:sz w:val="24"/>
          <w:szCs w:val="24"/>
        </w:rPr>
        <w:t xml:space="preserve">de </w:t>
      </w:r>
      <w:r w:rsidR="009F2048" w:rsidRPr="001D7099">
        <w:rPr>
          <w:rFonts w:ascii="Times New Roman" w:hAnsi="Times New Roman"/>
          <w:sz w:val="24"/>
          <w:szCs w:val="24"/>
        </w:rPr>
        <w:t>c.</w:t>
      </w:r>
      <w:r w:rsidR="00F25541" w:rsidRPr="001D7099">
        <w:rPr>
          <w:rFonts w:ascii="Times New Roman" w:hAnsi="Times New Roman"/>
          <w:sz w:val="24"/>
          <w:szCs w:val="24"/>
        </w:rPr>
        <w:t>1630.</w:t>
      </w:r>
      <w:r w:rsidR="00DD458F" w:rsidRPr="001D7099">
        <w:rPr>
          <w:rFonts w:ascii="Times New Roman" w:hAnsi="Times New Roman"/>
          <w:sz w:val="24"/>
          <w:szCs w:val="24"/>
        </w:rPr>
        <w:t xml:space="preserve"> </w:t>
      </w:r>
      <w:r w:rsidR="00F25541" w:rsidRPr="001D7099">
        <w:rPr>
          <w:rFonts w:ascii="Times New Roman" w:hAnsi="Times New Roman"/>
          <w:sz w:val="24"/>
          <w:szCs w:val="24"/>
        </w:rPr>
        <w:t xml:space="preserve">Esta recomposição do produto </w:t>
      </w:r>
      <w:r w:rsidR="009A3EEE">
        <w:rPr>
          <w:rFonts w:ascii="Times New Roman" w:hAnsi="Times New Roman"/>
          <w:sz w:val="24"/>
          <w:szCs w:val="24"/>
        </w:rPr>
        <w:t xml:space="preserve">resultou </w:t>
      </w:r>
      <w:r w:rsidR="00F25541" w:rsidRPr="001D7099">
        <w:rPr>
          <w:rFonts w:ascii="Times New Roman" w:hAnsi="Times New Roman"/>
          <w:sz w:val="24"/>
          <w:szCs w:val="24"/>
        </w:rPr>
        <w:t>d</w:t>
      </w:r>
      <w:r w:rsidR="000E7700" w:rsidRPr="001D7099">
        <w:rPr>
          <w:rFonts w:ascii="Times New Roman" w:hAnsi="Times New Roman"/>
          <w:sz w:val="24"/>
          <w:szCs w:val="24"/>
        </w:rPr>
        <w:t>o</w:t>
      </w:r>
      <w:r w:rsidR="00F25541" w:rsidRPr="001D7099">
        <w:rPr>
          <w:rFonts w:ascii="Times New Roman" w:hAnsi="Times New Roman"/>
          <w:sz w:val="24"/>
          <w:szCs w:val="24"/>
        </w:rPr>
        <w:t xml:space="preserve"> </w:t>
      </w:r>
      <w:r w:rsidR="000E7700" w:rsidRPr="001D7099">
        <w:rPr>
          <w:rFonts w:ascii="Times New Roman" w:hAnsi="Times New Roman"/>
          <w:sz w:val="24"/>
          <w:szCs w:val="24"/>
        </w:rPr>
        <w:t xml:space="preserve">recuo </w:t>
      </w:r>
      <w:r w:rsidR="00F25541" w:rsidRPr="001D7099">
        <w:rPr>
          <w:rFonts w:ascii="Times New Roman" w:hAnsi="Times New Roman"/>
          <w:sz w:val="24"/>
          <w:szCs w:val="24"/>
        </w:rPr>
        <w:t>abrupt</w:t>
      </w:r>
      <w:r w:rsidR="000E7700" w:rsidRPr="001D7099">
        <w:rPr>
          <w:rFonts w:ascii="Times New Roman" w:hAnsi="Times New Roman"/>
          <w:sz w:val="24"/>
          <w:szCs w:val="24"/>
        </w:rPr>
        <w:t>o</w:t>
      </w:r>
      <w:r w:rsidR="00F25541" w:rsidRPr="001D7099">
        <w:rPr>
          <w:rFonts w:ascii="Times New Roman" w:hAnsi="Times New Roman"/>
          <w:sz w:val="24"/>
          <w:szCs w:val="24"/>
        </w:rPr>
        <w:t xml:space="preserve"> </w:t>
      </w:r>
      <w:r w:rsidR="000E7700" w:rsidRPr="001D7099">
        <w:rPr>
          <w:rFonts w:ascii="Times New Roman" w:hAnsi="Times New Roman"/>
          <w:sz w:val="24"/>
          <w:szCs w:val="24"/>
        </w:rPr>
        <w:t xml:space="preserve">da componente RNAG do PIB, cuja representatividade </w:t>
      </w:r>
      <w:r w:rsidR="00F25541" w:rsidRPr="001D7099">
        <w:rPr>
          <w:rFonts w:ascii="Times New Roman" w:hAnsi="Times New Roman"/>
          <w:sz w:val="24"/>
          <w:szCs w:val="24"/>
        </w:rPr>
        <w:t>se reduziu de 33% para 19%</w:t>
      </w:r>
      <w:r w:rsidR="000E7700" w:rsidRPr="001D7099">
        <w:rPr>
          <w:rFonts w:ascii="Times New Roman" w:hAnsi="Times New Roman"/>
          <w:sz w:val="24"/>
          <w:szCs w:val="24"/>
        </w:rPr>
        <w:t>.</w:t>
      </w:r>
      <w:r w:rsidR="00C50417" w:rsidRPr="001D7099">
        <w:rPr>
          <w:rFonts w:ascii="Times New Roman" w:hAnsi="Times New Roman"/>
          <w:sz w:val="24"/>
          <w:szCs w:val="24"/>
        </w:rPr>
        <w:t xml:space="preserve"> </w:t>
      </w:r>
      <w:r w:rsidR="00C30872" w:rsidRPr="001D7099">
        <w:rPr>
          <w:rFonts w:ascii="Times New Roman" w:hAnsi="Times New Roman"/>
          <w:sz w:val="24"/>
          <w:szCs w:val="24"/>
        </w:rPr>
        <w:t xml:space="preserve">No computo geral, </w:t>
      </w:r>
      <w:r w:rsidR="000E7700" w:rsidRPr="001D7099">
        <w:rPr>
          <w:rFonts w:ascii="Times New Roman" w:hAnsi="Times New Roman"/>
          <w:sz w:val="24"/>
          <w:szCs w:val="24"/>
        </w:rPr>
        <w:t xml:space="preserve">entre 1790-1850 </w:t>
      </w:r>
      <w:r w:rsidR="00C30872" w:rsidRPr="001D7099">
        <w:rPr>
          <w:rFonts w:ascii="Times New Roman" w:hAnsi="Times New Roman"/>
          <w:sz w:val="24"/>
          <w:szCs w:val="24"/>
        </w:rPr>
        <w:t xml:space="preserve">o PIB estagnou, </w:t>
      </w:r>
      <w:r w:rsidR="000E7700" w:rsidRPr="001D7099">
        <w:rPr>
          <w:rFonts w:ascii="Times New Roman" w:hAnsi="Times New Roman"/>
          <w:sz w:val="24"/>
          <w:szCs w:val="24"/>
        </w:rPr>
        <w:t xml:space="preserve">mas o </w:t>
      </w:r>
      <w:r w:rsidR="00C30872" w:rsidRPr="001D7099">
        <w:rPr>
          <w:rFonts w:ascii="Times New Roman" w:hAnsi="Times New Roman"/>
          <w:sz w:val="24"/>
          <w:szCs w:val="24"/>
        </w:rPr>
        <w:t>PAB aumentou 22%</w:t>
      </w:r>
      <w:r w:rsidR="00606A7A" w:rsidRPr="001D7099">
        <w:rPr>
          <w:rFonts w:ascii="Times New Roman" w:hAnsi="Times New Roman"/>
          <w:sz w:val="24"/>
          <w:szCs w:val="24"/>
        </w:rPr>
        <w:t>,</w:t>
      </w:r>
      <w:r w:rsidR="000E7700" w:rsidRPr="001D7099">
        <w:rPr>
          <w:rFonts w:ascii="Times New Roman" w:hAnsi="Times New Roman"/>
          <w:sz w:val="24"/>
          <w:szCs w:val="24"/>
        </w:rPr>
        <w:t xml:space="preserve"> refletindo o cenário de involução do meio rural em resultado dessa recomposição do trabalho.</w:t>
      </w:r>
      <w:r w:rsidR="00C30872" w:rsidRPr="001D7099">
        <w:rPr>
          <w:rFonts w:ascii="Times New Roman" w:hAnsi="Times New Roman"/>
          <w:sz w:val="24"/>
          <w:szCs w:val="24"/>
        </w:rPr>
        <w:t xml:space="preserve"> </w:t>
      </w:r>
    </w:p>
    <w:p w14:paraId="23E70D84" w14:textId="4AEC2FED" w:rsidR="000931D9" w:rsidRDefault="00DF3000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A partir </w:t>
      </w:r>
      <w:r w:rsidR="00282953" w:rsidRPr="001D7099">
        <w:rPr>
          <w:rFonts w:ascii="Times New Roman" w:hAnsi="Times New Roman"/>
          <w:sz w:val="24"/>
          <w:szCs w:val="24"/>
        </w:rPr>
        <w:t>das expressões 1d) e 1</w:t>
      </w:r>
      <w:r w:rsidR="00F1315E" w:rsidRPr="001D7099">
        <w:rPr>
          <w:rFonts w:ascii="Times New Roman" w:hAnsi="Times New Roman"/>
          <w:sz w:val="24"/>
          <w:szCs w:val="24"/>
        </w:rPr>
        <w:t>e</w:t>
      </w:r>
      <w:r w:rsidR="00282953" w:rsidRPr="001D7099">
        <w:rPr>
          <w:rFonts w:ascii="Times New Roman" w:hAnsi="Times New Roman"/>
          <w:sz w:val="24"/>
          <w:szCs w:val="24"/>
        </w:rPr>
        <w:t xml:space="preserve">), é possível </w:t>
      </w:r>
      <w:r w:rsidR="00A74078" w:rsidRPr="001D7099">
        <w:rPr>
          <w:rFonts w:ascii="Times New Roman" w:hAnsi="Times New Roman"/>
          <w:sz w:val="24"/>
          <w:szCs w:val="24"/>
        </w:rPr>
        <w:t xml:space="preserve">também possível </w:t>
      </w:r>
      <w:r w:rsidR="000E7700" w:rsidRPr="001D7099">
        <w:rPr>
          <w:rFonts w:ascii="Times New Roman" w:hAnsi="Times New Roman"/>
          <w:sz w:val="24"/>
          <w:szCs w:val="24"/>
        </w:rPr>
        <w:t>aprofundar a análise do</w:t>
      </w:r>
      <w:r w:rsidR="00282953" w:rsidRPr="001D7099">
        <w:rPr>
          <w:rFonts w:ascii="Times New Roman" w:hAnsi="Times New Roman"/>
          <w:sz w:val="24"/>
          <w:szCs w:val="24"/>
        </w:rPr>
        <w:t xml:space="preserve"> ISR num determinado intervalo cronológico. Neste caso, fo</w:t>
      </w:r>
      <w:r w:rsidR="003332A4" w:rsidRPr="001D7099">
        <w:rPr>
          <w:rFonts w:ascii="Times New Roman" w:hAnsi="Times New Roman"/>
          <w:sz w:val="24"/>
          <w:szCs w:val="24"/>
        </w:rPr>
        <w:t xml:space="preserve">i </w:t>
      </w:r>
      <w:r w:rsidR="00C30872" w:rsidRPr="001D7099">
        <w:rPr>
          <w:rFonts w:ascii="Times New Roman" w:hAnsi="Times New Roman"/>
          <w:sz w:val="24"/>
          <w:szCs w:val="24"/>
        </w:rPr>
        <w:t xml:space="preserve">seguida </w:t>
      </w:r>
      <w:r w:rsidR="003332A4" w:rsidRPr="001D7099">
        <w:rPr>
          <w:rFonts w:ascii="Times New Roman" w:hAnsi="Times New Roman"/>
          <w:sz w:val="24"/>
          <w:szCs w:val="24"/>
        </w:rPr>
        <w:t xml:space="preserve">a periodização sugerida </w:t>
      </w:r>
      <w:r w:rsidR="000E7700" w:rsidRPr="001D7099">
        <w:rPr>
          <w:rFonts w:ascii="Times New Roman" w:hAnsi="Times New Roman"/>
          <w:sz w:val="24"/>
          <w:szCs w:val="24"/>
        </w:rPr>
        <w:t>na secção</w:t>
      </w:r>
      <w:r w:rsidR="003332A4" w:rsidRPr="001D7099">
        <w:rPr>
          <w:rFonts w:ascii="Times New Roman" w:hAnsi="Times New Roman"/>
          <w:sz w:val="24"/>
          <w:szCs w:val="24"/>
        </w:rPr>
        <w:t xml:space="preserve"> </w:t>
      </w:r>
      <w:r w:rsidR="003332A4" w:rsidRPr="001D7099">
        <w:rPr>
          <w:rFonts w:ascii="Times New Roman" w:hAnsi="Times New Roman"/>
          <w:sz w:val="24"/>
          <w:szCs w:val="24"/>
        </w:rPr>
        <w:fldChar w:fldCharType="begin"/>
      </w:r>
      <w:r w:rsidR="003332A4" w:rsidRPr="001D7099">
        <w:rPr>
          <w:rFonts w:ascii="Times New Roman" w:hAnsi="Times New Roman"/>
          <w:sz w:val="24"/>
          <w:szCs w:val="24"/>
        </w:rPr>
        <w:instrText xml:space="preserve"> REF _Ref130984935 \r \h </w:instrText>
      </w:r>
      <w:r w:rsidR="00DC2034" w:rsidRPr="001D7099">
        <w:rPr>
          <w:rFonts w:ascii="Times New Roman" w:hAnsi="Times New Roman"/>
          <w:sz w:val="24"/>
          <w:szCs w:val="24"/>
        </w:rPr>
        <w:instrText xml:space="preserve"> \* MERGEFORMAT </w:instrText>
      </w:r>
      <w:r w:rsidR="003332A4" w:rsidRPr="001D7099">
        <w:rPr>
          <w:rFonts w:ascii="Times New Roman" w:hAnsi="Times New Roman"/>
          <w:sz w:val="24"/>
          <w:szCs w:val="24"/>
        </w:rPr>
      </w:r>
      <w:r w:rsidR="003332A4" w:rsidRPr="001D7099">
        <w:rPr>
          <w:rFonts w:ascii="Times New Roman" w:hAnsi="Times New Roman"/>
          <w:sz w:val="24"/>
          <w:szCs w:val="24"/>
        </w:rPr>
        <w:fldChar w:fldCharType="separate"/>
      </w:r>
      <w:r w:rsidR="00F535A2" w:rsidRPr="001D7099">
        <w:rPr>
          <w:rFonts w:ascii="Times New Roman" w:hAnsi="Times New Roman"/>
          <w:sz w:val="24"/>
          <w:szCs w:val="24"/>
        </w:rPr>
        <w:t>2.2</w:t>
      </w:r>
      <w:r w:rsidR="003332A4" w:rsidRPr="001D7099">
        <w:rPr>
          <w:rFonts w:ascii="Times New Roman" w:hAnsi="Times New Roman"/>
          <w:sz w:val="24"/>
          <w:szCs w:val="24"/>
        </w:rPr>
        <w:fldChar w:fldCharType="end"/>
      </w:r>
      <w:r w:rsidR="003332A4" w:rsidRPr="001D7099">
        <w:rPr>
          <w:rFonts w:ascii="Times New Roman" w:hAnsi="Times New Roman"/>
          <w:sz w:val="24"/>
          <w:szCs w:val="24"/>
        </w:rPr>
        <w:t xml:space="preserve">, i.e., </w:t>
      </w:r>
      <w:r w:rsidR="00282953" w:rsidRPr="001D7099">
        <w:rPr>
          <w:rFonts w:ascii="Times New Roman" w:hAnsi="Times New Roman"/>
          <w:sz w:val="24"/>
          <w:szCs w:val="24"/>
        </w:rPr>
        <w:t xml:space="preserve">o período </w:t>
      </w:r>
      <w:r w:rsidR="00067706" w:rsidRPr="001D7099">
        <w:rPr>
          <w:rFonts w:ascii="Times New Roman" w:hAnsi="Times New Roman"/>
          <w:sz w:val="24"/>
          <w:szCs w:val="24"/>
        </w:rPr>
        <w:t xml:space="preserve">de crescimento pré-industrial </w:t>
      </w:r>
      <w:r w:rsidR="003332A4" w:rsidRPr="001D7099">
        <w:rPr>
          <w:rFonts w:ascii="Times New Roman" w:hAnsi="Times New Roman"/>
          <w:sz w:val="24"/>
          <w:szCs w:val="24"/>
        </w:rPr>
        <w:t>(</w:t>
      </w:r>
      <w:r w:rsidR="00282953" w:rsidRPr="001D7099">
        <w:rPr>
          <w:rFonts w:ascii="Times New Roman" w:hAnsi="Times New Roman"/>
          <w:sz w:val="24"/>
          <w:szCs w:val="24"/>
        </w:rPr>
        <w:t>1600-1750</w:t>
      </w:r>
      <w:r w:rsidR="003332A4" w:rsidRPr="001D7099">
        <w:rPr>
          <w:rFonts w:ascii="Times New Roman" w:hAnsi="Times New Roman"/>
          <w:sz w:val="24"/>
          <w:szCs w:val="24"/>
        </w:rPr>
        <w:t>)</w:t>
      </w:r>
      <w:r w:rsidR="00067706" w:rsidRPr="001D7099">
        <w:rPr>
          <w:rFonts w:ascii="Times New Roman" w:hAnsi="Times New Roman"/>
          <w:sz w:val="24"/>
          <w:szCs w:val="24"/>
        </w:rPr>
        <w:t xml:space="preserve">, </w:t>
      </w:r>
      <w:r w:rsidR="003332A4" w:rsidRPr="001D7099">
        <w:rPr>
          <w:rFonts w:ascii="Times New Roman" w:hAnsi="Times New Roman"/>
          <w:sz w:val="24"/>
          <w:szCs w:val="24"/>
        </w:rPr>
        <w:t xml:space="preserve">a fase de declínio e estagnação (1750-1813) e </w:t>
      </w:r>
      <w:r w:rsidR="000E7700" w:rsidRPr="001D7099">
        <w:rPr>
          <w:rFonts w:ascii="Times New Roman" w:hAnsi="Times New Roman"/>
          <w:sz w:val="24"/>
          <w:szCs w:val="24"/>
        </w:rPr>
        <w:t xml:space="preserve">o </w:t>
      </w:r>
      <w:r w:rsidR="003332A4" w:rsidRPr="001D7099">
        <w:rPr>
          <w:rFonts w:ascii="Times New Roman" w:hAnsi="Times New Roman"/>
          <w:sz w:val="24"/>
          <w:szCs w:val="24"/>
        </w:rPr>
        <w:t xml:space="preserve">período de retoma (1813-1850). Foram simulados </w:t>
      </w:r>
      <w:r w:rsidR="00C30872" w:rsidRPr="001D7099">
        <w:rPr>
          <w:rFonts w:ascii="Times New Roman" w:hAnsi="Times New Roman"/>
          <w:sz w:val="24"/>
          <w:szCs w:val="24"/>
        </w:rPr>
        <w:t xml:space="preserve">dois cenários </w:t>
      </w:r>
      <w:r w:rsidR="003332A4" w:rsidRPr="001D7099">
        <w:rPr>
          <w:rFonts w:ascii="Times New Roman" w:hAnsi="Times New Roman"/>
          <w:sz w:val="24"/>
          <w:szCs w:val="24"/>
        </w:rPr>
        <w:t xml:space="preserve">de variação dos </w:t>
      </w:r>
      <w:r w:rsidR="00C30872" w:rsidRPr="001D7099">
        <w:rPr>
          <w:rFonts w:ascii="Times New Roman" w:hAnsi="Times New Roman"/>
          <w:sz w:val="24"/>
          <w:szCs w:val="24"/>
        </w:rPr>
        <w:t xml:space="preserve">SJ: i) um cenário de estagnação, que permite averiguar o impacto </w:t>
      </w:r>
      <w:r w:rsidR="00C74AC6">
        <w:rPr>
          <w:rFonts w:ascii="Times New Roman" w:hAnsi="Times New Roman"/>
          <w:sz w:val="24"/>
          <w:szCs w:val="24"/>
        </w:rPr>
        <w:t xml:space="preserve">isolado </w:t>
      </w:r>
      <w:r w:rsidR="00C30872" w:rsidRPr="001D7099">
        <w:rPr>
          <w:rFonts w:ascii="Times New Roman" w:hAnsi="Times New Roman"/>
          <w:sz w:val="24"/>
          <w:szCs w:val="24"/>
        </w:rPr>
        <w:t xml:space="preserve">da estrutura ocupacional e input de trabalho pc, ii) um cenário em que a variação dos salários jornaleiros </w:t>
      </w:r>
      <w:r w:rsidR="00C80CA8" w:rsidRPr="001D7099">
        <w:rPr>
          <w:rFonts w:ascii="Times New Roman" w:hAnsi="Times New Roman"/>
          <w:sz w:val="24"/>
          <w:szCs w:val="24"/>
        </w:rPr>
        <w:t xml:space="preserve">corresponde </w:t>
      </w:r>
      <w:r w:rsidR="00C74AC6">
        <w:rPr>
          <w:rFonts w:ascii="Times New Roman" w:hAnsi="Times New Roman"/>
          <w:sz w:val="24"/>
          <w:szCs w:val="24"/>
        </w:rPr>
        <w:t>a</w:t>
      </w:r>
      <w:r w:rsidR="00C80CA8" w:rsidRPr="001D7099">
        <w:rPr>
          <w:rFonts w:ascii="Times New Roman" w:hAnsi="Times New Roman"/>
          <w:sz w:val="24"/>
          <w:szCs w:val="24"/>
        </w:rPr>
        <w:t xml:space="preserve"> </w:t>
      </w:r>
      <w:r w:rsidR="00C74AC6">
        <w:rPr>
          <w:rFonts w:ascii="Times New Roman" w:hAnsi="Times New Roman"/>
          <w:sz w:val="24"/>
          <w:szCs w:val="24"/>
        </w:rPr>
        <w:t xml:space="preserve">uma </w:t>
      </w:r>
      <w:r w:rsidR="00C80CA8" w:rsidRPr="001D7099">
        <w:rPr>
          <w:rFonts w:ascii="Times New Roman" w:hAnsi="Times New Roman"/>
          <w:sz w:val="24"/>
          <w:szCs w:val="24"/>
        </w:rPr>
        <w:t xml:space="preserve">variação do </w:t>
      </w:r>
      <w:r w:rsidR="00C30872" w:rsidRPr="001D7099">
        <w:rPr>
          <w:rFonts w:ascii="Times New Roman" w:hAnsi="Times New Roman"/>
          <w:sz w:val="24"/>
          <w:szCs w:val="24"/>
        </w:rPr>
        <w:t>ISR idêntica à do PIB pc (proxy para o cenário base de Palma &amp; Reis</w:t>
      </w:r>
      <w:r w:rsidR="00C74AC6">
        <w:rPr>
          <w:rFonts w:ascii="Times New Roman" w:hAnsi="Times New Roman"/>
          <w:sz w:val="24"/>
          <w:szCs w:val="24"/>
        </w:rPr>
        <w:t xml:space="preserve"> </w:t>
      </w:r>
      <w:r w:rsidR="00C30872" w:rsidRPr="001D7099">
        <w:rPr>
          <w:rFonts w:ascii="Times New Roman" w:hAnsi="Times New Roman"/>
          <w:sz w:val="24"/>
          <w:szCs w:val="24"/>
        </w:rPr>
        <w:t xml:space="preserve">2019). </w:t>
      </w:r>
      <w:r w:rsidR="003332A4" w:rsidRPr="001D7099">
        <w:rPr>
          <w:rFonts w:ascii="Times New Roman" w:hAnsi="Times New Roman"/>
          <w:sz w:val="24"/>
          <w:szCs w:val="24"/>
        </w:rPr>
        <w:t xml:space="preserve">Para cada um desses cenários,  </w:t>
      </w:r>
      <w:r w:rsidR="005E662A" w:rsidRPr="001D7099">
        <w:rPr>
          <w:rFonts w:ascii="Times New Roman" w:hAnsi="Times New Roman"/>
          <w:sz w:val="24"/>
          <w:szCs w:val="24"/>
        </w:rPr>
        <w:t xml:space="preserve">foi </w:t>
      </w:r>
      <w:r w:rsidR="000931D9" w:rsidRPr="001D7099">
        <w:rPr>
          <w:rFonts w:ascii="Times New Roman" w:hAnsi="Times New Roman"/>
          <w:sz w:val="24"/>
          <w:szCs w:val="24"/>
        </w:rPr>
        <w:t xml:space="preserve">estimado </w:t>
      </w:r>
      <w:r w:rsidR="003332A4" w:rsidRPr="001D7099">
        <w:rPr>
          <w:rFonts w:ascii="Times New Roman" w:hAnsi="Times New Roman"/>
          <w:sz w:val="24"/>
          <w:szCs w:val="24"/>
        </w:rPr>
        <w:t xml:space="preserve">por um lado, o contributo autónomo dos determinantes dos salários reais (estrutura ocupacional, input de trabalho pc, e salários jornaleiros) </w:t>
      </w:r>
      <w:r w:rsidR="00452019" w:rsidRPr="001D7099">
        <w:rPr>
          <w:rFonts w:ascii="Times New Roman" w:hAnsi="Times New Roman"/>
          <w:sz w:val="24"/>
          <w:szCs w:val="24"/>
        </w:rPr>
        <w:t>e</w:t>
      </w:r>
      <w:r w:rsidR="00497B39" w:rsidRPr="001D7099">
        <w:rPr>
          <w:rFonts w:ascii="Times New Roman" w:hAnsi="Times New Roman"/>
          <w:sz w:val="24"/>
          <w:szCs w:val="24"/>
        </w:rPr>
        <w:t xml:space="preserve">, por outro, a contribuição de cada categoria profissional (Urbano, RNAG e Agrícola). </w:t>
      </w:r>
      <w:r w:rsidR="000931D9" w:rsidRPr="001D7099">
        <w:rPr>
          <w:rFonts w:ascii="Times New Roman" w:hAnsi="Times New Roman"/>
          <w:sz w:val="24"/>
          <w:szCs w:val="24"/>
        </w:rPr>
        <w:t>Finalmente, cada um destes cenários foi testado para o caso do skill premium não variar</w:t>
      </w:r>
      <w:r w:rsidR="000931D9" w:rsidRPr="001D7099">
        <w:rPr>
          <w:rStyle w:val="FootnoteReference"/>
          <w:rFonts w:ascii="Times New Roman" w:hAnsi="Times New Roman"/>
          <w:sz w:val="24"/>
          <w:szCs w:val="24"/>
        </w:rPr>
        <w:footnoteReference w:id="17"/>
      </w:r>
      <w:r w:rsidR="00C74AC6">
        <w:rPr>
          <w:rFonts w:ascii="Times New Roman" w:hAnsi="Times New Roman"/>
          <w:sz w:val="24"/>
          <w:szCs w:val="24"/>
        </w:rPr>
        <w:t xml:space="preserve"> (</w:t>
      </w:r>
      <w:r w:rsidR="000931D9" w:rsidRPr="001D7099">
        <w:rPr>
          <w:rFonts w:ascii="Times New Roman" w:hAnsi="Times New Roman"/>
          <w:sz w:val="24"/>
          <w:szCs w:val="24"/>
        </w:rPr>
        <w:t>tabela 3</w:t>
      </w:r>
      <w:r w:rsidR="00C74AC6">
        <w:rPr>
          <w:rFonts w:ascii="Times New Roman" w:hAnsi="Times New Roman"/>
          <w:sz w:val="24"/>
          <w:szCs w:val="24"/>
        </w:rPr>
        <w:t>)</w:t>
      </w:r>
      <w:r w:rsidR="000931D9" w:rsidRPr="001D7099">
        <w:rPr>
          <w:rFonts w:ascii="Times New Roman" w:hAnsi="Times New Roman"/>
          <w:sz w:val="24"/>
          <w:szCs w:val="24"/>
        </w:rPr>
        <w:t xml:space="preserve">.  </w:t>
      </w:r>
    </w:p>
    <w:p w14:paraId="0B08ECB9" w14:textId="77777777" w:rsidR="00C74AC6" w:rsidRPr="001D7099" w:rsidRDefault="00C74AC6" w:rsidP="009A3EEE">
      <w:pPr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14:paraId="2ABB5C0E" w14:textId="50AD9CAC" w:rsidR="00282953" w:rsidRPr="00694E7A" w:rsidRDefault="00282953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694E7A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694E7A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694E7A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694E7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F535A2" w:rsidRPr="00694E7A">
        <w:rPr>
          <w:rFonts w:ascii="Times New Roman" w:hAnsi="Times New Roman"/>
          <w:b/>
          <w:bCs/>
          <w:noProof/>
          <w:sz w:val="22"/>
          <w:szCs w:val="22"/>
        </w:rPr>
        <w:t>3</w:t>
      </w:r>
      <w:r w:rsidRPr="00694E7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694E7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462D26" w:rsidRPr="00694E7A">
        <w:rPr>
          <w:rFonts w:ascii="Times New Roman" w:hAnsi="Times New Roman"/>
          <w:b/>
          <w:bCs/>
          <w:sz w:val="22"/>
          <w:szCs w:val="22"/>
        </w:rPr>
        <w:t xml:space="preserve">Contribuição </w:t>
      </w:r>
      <w:r w:rsidR="003332A4" w:rsidRPr="00694E7A">
        <w:rPr>
          <w:rFonts w:ascii="Times New Roman" w:hAnsi="Times New Roman"/>
          <w:b/>
          <w:bCs/>
          <w:sz w:val="22"/>
          <w:szCs w:val="22"/>
        </w:rPr>
        <w:t xml:space="preserve">por Determinantes e Categorias Profissionais para a variação </w:t>
      </w:r>
      <w:r w:rsidR="00462D26" w:rsidRPr="00694E7A">
        <w:rPr>
          <w:rFonts w:ascii="Times New Roman" w:hAnsi="Times New Roman"/>
          <w:b/>
          <w:bCs/>
          <w:sz w:val="22"/>
          <w:szCs w:val="22"/>
        </w:rPr>
        <w:t xml:space="preserve">do ISR </w:t>
      </w:r>
    </w:p>
    <w:p w14:paraId="53A03884" w14:textId="167198C8" w:rsidR="00001870" w:rsidRPr="001D7099" w:rsidRDefault="000931D9" w:rsidP="008906F1">
      <w:pPr>
        <w:spacing w:line="48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407FDF6" wp14:editId="6EF766D5">
            <wp:extent cx="7191611" cy="2825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" b="2"/>
                    <a:stretch/>
                  </pic:blipFill>
                  <pic:spPr bwMode="auto">
                    <a:xfrm>
                      <a:off x="0" y="0"/>
                      <a:ext cx="7192800" cy="282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70A23" w14:textId="315F73D1" w:rsidR="00067706" w:rsidRPr="00694E7A" w:rsidRDefault="00AF6C37" w:rsidP="008906F1">
      <w:pPr>
        <w:spacing w:line="480" w:lineRule="auto"/>
        <w:ind w:left="-1134"/>
        <w:jc w:val="center"/>
        <w:rPr>
          <w:rFonts w:ascii="Times New Roman" w:hAnsi="Times New Roman"/>
          <w:b/>
          <w:bCs/>
          <w:sz w:val="22"/>
          <w:szCs w:val="22"/>
        </w:rPr>
      </w:pPr>
      <w:r w:rsidRPr="00C74AC6">
        <w:rPr>
          <w:rFonts w:ascii="Times New Roman" w:hAnsi="Times New Roman"/>
          <w:b/>
          <w:bCs/>
          <w:sz w:val="22"/>
          <w:szCs w:val="22"/>
        </w:rPr>
        <w:t xml:space="preserve">Fontes: </w:t>
      </w:r>
      <w:r w:rsidRPr="0065116C">
        <w:rPr>
          <w:rFonts w:ascii="Times New Roman" w:hAnsi="Times New Roman"/>
          <w:sz w:val="22"/>
          <w:szCs w:val="22"/>
        </w:rPr>
        <w:t>Ver Texto</w:t>
      </w:r>
    </w:p>
    <w:p w14:paraId="3C3A128A" w14:textId="77777777" w:rsidR="00AF6C37" w:rsidRPr="001D7099" w:rsidRDefault="00AF6C37" w:rsidP="0065116C">
      <w:pPr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14:paraId="13A6BE65" w14:textId="10ACADA4" w:rsidR="0032179C" w:rsidRPr="0065116C" w:rsidRDefault="00C74AC6" w:rsidP="0065116C">
      <w:pPr>
        <w:spacing w:line="480" w:lineRule="auto"/>
        <w:ind w:firstLine="142"/>
        <w:rPr>
          <w:rFonts w:ascii="Times New Roman" w:hAnsi="Times New Roman"/>
        </w:rPr>
      </w:pPr>
      <w:r w:rsidRPr="001D7099">
        <w:rPr>
          <w:rFonts w:ascii="Times New Roman" w:hAnsi="Times New Roman"/>
          <w:sz w:val="24"/>
          <w:szCs w:val="24"/>
        </w:rPr>
        <w:t>No período entre 1600-1750, a alteração da estrutura ocupacional da população permitiria, mesmo num cenário de estagnação dos SJ, alcançar um crescimento anual médio do ISR de 0,16% (A1) –</w:t>
      </w:r>
      <w:r w:rsidR="0065116C"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>cerca de 1/3 do crescimento apurado para o período (+0,48%).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 xml:space="preserve">Contudo, apesar da </w:t>
      </w:r>
      <w:r w:rsidR="0065116C" w:rsidRPr="001D7099">
        <w:rPr>
          <w:rFonts w:ascii="Times New Roman" w:hAnsi="Times New Roman"/>
          <w:sz w:val="24"/>
          <w:szCs w:val="24"/>
        </w:rPr>
        <w:t xml:space="preserve">recomposição </w:t>
      </w:r>
      <w:r w:rsidRPr="001D7099">
        <w:rPr>
          <w:rFonts w:ascii="Times New Roman" w:hAnsi="Times New Roman"/>
          <w:sz w:val="24"/>
          <w:szCs w:val="24"/>
        </w:rPr>
        <w:t xml:space="preserve">setorial da economia, a </w:t>
      </w:r>
      <w:r w:rsidR="0065116C">
        <w:rPr>
          <w:rFonts w:ascii="Times New Roman" w:hAnsi="Times New Roman"/>
          <w:sz w:val="24"/>
          <w:szCs w:val="24"/>
        </w:rPr>
        <w:t xml:space="preserve">esse crescimento decorreria principalmente </w:t>
      </w:r>
      <w:r w:rsidRPr="001D7099">
        <w:rPr>
          <w:rFonts w:ascii="Times New Roman" w:hAnsi="Times New Roman"/>
          <w:sz w:val="24"/>
          <w:szCs w:val="24"/>
        </w:rPr>
        <w:t xml:space="preserve">do </w:t>
      </w:r>
      <w:r w:rsidR="0065116C">
        <w:rPr>
          <w:rFonts w:ascii="Times New Roman" w:hAnsi="Times New Roman"/>
          <w:sz w:val="24"/>
          <w:szCs w:val="24"/>
        </w:rPr>
        <w:t>aumento</w:t>
      </w:r>
      <w:r w:rsidRPr="001D7099">
        <w:rPr>
          <w:rFonts w:ascii="Times New Roman" w:hAnsi="Times New Roman"/>
          <w:sz w:val="24"/>
          <w:szCs w:val="24"/>
        </w:rPr>
        <w:t xml:space="preserve"> do input de trabalho pc</w:t>
      </w:r>
      <w:r w:rsidR="0065116C">
        <w:rPr>
          <w:rFonts w:ascii="Times New Roman" w:hAnsi="Times New Roman"/>
          <w:sz w:val="24"/>
          <w:szCs w:val="24"/>
        </w:rPr>
        <w:t xml:space="preserve"> </w:t>
      </w:r>
      <w:r w:rsidR="0065116C" w:rsidRPr="001D7099">
        <w:rPr>
          <w:rFonts w:ascii="Times New Roman" w:hAnsi="Times New Roman"/>
          <w:sz w:val="24"/>
          <w:szCs w:val="24"/>
        </w:rPr>
        <w:t>(63%)</w:t>
      </w:r>
      <w:r w:rsidR="0065116C">
        <w:rPr>
          <w:rStyle w:val="FootnoteReference"/>
          <w:rFonts w:ascii="Times New Roman" w:hAnsi="Times New Roman"/>
          <w:sz w:val="24"/>
          <w:szCs w:val="24"/>
        </w:rPr>
        <w:footnoteReference w:id="18"/>
      </w:r>
      <w:r w:rsidRPr="001D7099">
        <w:rPr>
          <w:rFonts w:ascii="Times New Roman" w:hAnsi="Times New Roman"/>
          <w:sz w:val="24"/>
          <w:szCs w:val="24"/>
        </w:rPr>
        <w:t>. O impacto limitado da estrutura ocupacional da população no ISR é, em parte, explicado, pela variação do skill premium. De facto, caso o skill premium não variasse negativamente – reduzindo-se de cerca de 1,85 para 1,65 – a contribuição da estrutura ocupacional seria, aproximadamente, idêntica à do input de trabalho pc no crescimento do ISR (B1).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099">
        <w:rPr>
          <w:rFonts w:ascii="Times New Roman" w:hAnsi="Times New Roman"/>
          <w:sz w:val="24"/>
          <w:szCs w:val="24"/>
        </w:rPr>
        <w:t>No cenário proxy do crescimento real (A2), observa-se que os SJ teriam de crescer ao ritmo de 0,25%/ano por forma a obter um crescimento do ISR idêntico ao que se verificou em termos de PIB pc (+0,48%) – sendo o crescimento efetivo dos salários responsável por cerca de metade da variação do ISR.</w:t>
      </w:r>
      <w:r w:rsidR="0065116C">
        <w:rPr>
          <w:rFonts w:ascii="Times New Roman" w:hAnsi="Times New Roman"/>
        </w:rPr>
        <w:t xml:space="preserve"> </w:t>
      </w:r>
      <w:r w:rsidR="005E2186" w:rsidRPr="001D7099">
        <w:rPr>
          <w:rFonts w:ascii="Times New Roman" w:hAnsi="Times New Roman"/>
          <w:sz w:val="24"/>
          <w:szCs w:val="24"/>
        </w:rPr>
        <w:t xml:space="preserve">Nesse cenário, confirma-se a preponderância da categoria RNAG enquanto fonte mobilizadora de crescimento pré-industrial, responsável por </w:t>
      </w:r>
      <w:r w:rsidR="00543905" w:rsidRPr="001D7099">
        <w:rPr>
          <w:rFonts w:ascii="Times New Roman" w:hAnsi="Times New Roman"/>
          <w:sz w:val="24"/>
          <w:szCs w:val="24"/>
        </w:rPr>
        <w:t>cerca de</w:t>
      </w:r>
      <w:r w:rsidR="005E2186" w:rsidRPr="001D7099">
        <w:rPr>
          <w:rFonts w:ascii="Times New Roman" w:hAnsi="Times New Roman"/>
          <w:sz w:val="24"/>
          <w:szCs w:val="24"/>
        </w:rPr>
        <w:t xml:space="preserve"> metade (47%) do crescimento</w:t>
      </w:r>
      <w:r w:rsidR="00F075CB" w:rsidRPr="001D7099">
        <w:rPr>
          <w:rFonts w:ascii="Times New Roman" w:hAnsi="Times New Roman"/>
          <w:sz w:val="24"/>
          <w:szCs w:val="24"/>
        </w:rPr>
        <w:t>.</w:t>
      </w:r>
      <w:r w:rsidR="005E2186" w:rsidRPr="001D7099">
        <w:rPr>
          <w:rFonts w:ascii="Times New Roman" w:hAnsi="Times New Roman"/>
          <w:sz w:val="24"/>
          <w:szCs w:val="24"/>
        </w:rPr>
        <w:t xml:space="preserve"> </w:t>
      </w:r>
      <w:r w:rsidR="0076794C" w:rsidRPr="001D7099">
        <w:rPr>
          <w:rFonts w:ascii="Times New Roman" w:hAnsi="Times New Roman"/>
          <w:sz w:val="24"/>
          <w:szCs w:val="24"/>
        </w:rPr>
        <w:t>Ou seja, se pontualmente</w:t>
      </w:r>
      <w:r w:rsidR="00EB492A" w:rsidRPr="001D7099">
        <w:rPr>
          <w:rFonts w:ascii="Times New Roman" w:hAnsi="Times New Roman"/>
          <w:sz w:val="24"/>
          <w:szCs w:val="24"/>
        </w:rPr>
        <w:t xml:space="preserve"> </w:t>
      </w:r>
      <w:r w:rsidR="0076794C" w:rsidRPr="001D7099">
        <w:rPr>
          <w:rFonts w:ascii="Times New Roman" w:hAnsi="Times New Roman"/>
          <w:sz w:val="24"/>
          <w:szCs w:val="24"/>
        </w:rPr>
        <w:t xml:space="preserve">a </w:t>
      </w:r>
      <w:r w:rsidR="0076794C" w:rsidRPr="001D7099">
        <w:rPr>
          <w:rFonts w:ascii="Times New Roman" w:hAnsi="Times New Roman"/>
          <w:sz w:val="24"/>
          <w:szCs w:val="24"/>
        </w:rPr>
        <w:lastRenderedPageBreak/>
        <w:t xml:space="preserve">categoria RNAG nunca </w:t>
      </w:r>
      <w:r w:rsidR="00F075CB" w:rsidRPr="001D7099">
        <w:rPr>
          <w:rFonts w:ascii="Times New Roman" w:hAnsi="Times New Roman"/>
          <w:sz w:val="24"/>
          <w:szCs w:val="24"/>
        </w:rPr>
        <w:t>excede</w:t>
      </w:r>
      <w:r w:rsidR="000E7700" w:rsidRPr="001D7099">
        <w:rPr>
          <w:rFonts w:ascii="Times New Roman" w:hAnsi="Times New Roman"/>
          <w:sz w:val="24"/>
          <w:szCs w:val="24"/>
        </w:rPr>
        <w:t>u</w:t>
      </w:r>
      <w:r w:rsidR="00F075CB" w:rsidRPr="001D7099">
        <w:rPr>
          <w:rFonts w:ascii="Times New Roman" w:hAnsi="Times New Roman"/>
          <w:sz w:val="24"/>
          <w:szCs w:val="24"/>
        </w:rPr>
        <w:t xml:space="preserve"> </w:t>
      </w:r>
      <w:r w:rsidR="000E7700" w:rsidRPr="001D7099">
        <w:rPr>
          <w:rFonts w:ascii="Times New Roman" w:hAnsi="Times New Roman"/>
          <w:sz w:val="24"/>
          <w:szCs w:val="24"/>
        </w:rPr>
        <w:t xml:space="preserve">a </w:t>
      </w:r>
      <w:r w:rsidR="00F075CB" w:rsidRPr="001D7099">
        <w:rPr>
          <w:rFonts w:ascii="Times New Roman" w:hAnsi="Times New Roman"/>
          <w:sz w:val="24"/>
          <w:szCs w:val="24"/>
        </w:rPr>
        <w:t xml:space="preserve">contribuição </w:t>
      </w:r>
      <w:r w:rsidR="000E7700" w:rsidRPr="001D7099">
        <w:rPr>
          <w:rFonts w:ascii="Times New Roman" w:hAnsi="Times New Roman"/>
          <w:sz w:val="24"/>
          <w:szCs w:val="24"/>
        </w:rPr>
        <w:t xml:space="preserve">da categoria Agrícola na formação do </w:t>
      </w:r>
      <w:r w:rsidR="00F075CB" w:rsidRPr="001D7099">
        <w:rPr>
          <w:rFonts w:ascii="Times New Roman" w:hAnsi="Times New Roman"/>
          <w:sz w:val="24"/>
          <w:szCs w:val="24"/>
        </w:rPr>
        <w:t xml:space="preserve">ISR entre 1600-1750, </w:t>
      </w:r>
      <w:r w:rsidR="00AF6C37" w:rsidRPr="001D7099">
        <w:rPr>
          <w:rFonts w:ascii="Times New Roman" w:hAnsi="Times New Roman"/>
          <w:sz w:val="24"/>
          <w:szCs w:val="24"/>
        </w:rPr>
        <w:t xml:space="preserve">tomando </w:t>
      </w:r>
      <w:r w:rsidR="00F075CB" w:rsidRPr="001D7099">
        <w:rPr>
          <w:rFonts w:ascii="Times New Roman" w:hAnsi="Times New Roman"/>
          <w:sz w:val="24"/>
          <w:szCs w:val="24"/>
        </w:rPr>
        <w:t xml:space="preserve">a variação do período, para os níveis de crescimento verificados, a sua influência </w:t>
      </w:r>
      <w:r w:rsidR="00EB492A" w:rsidRPr="001D7099">
        <w:rPr>
          <w:rFonts w:ascii="Times New Roman" w:hAnsi="Times New Roman"/>
          <w:sz w:val="24"/>
          <w:szCs w:val="24"/>
        </w:rPr>
        <w:t>foi</w:t>
      </w:r>
      <w:r w:rsidR="00F075CB" w:rsidRPr="001D7099">
        <w:rPr>
          <w:rFonts w:ascii="Times New Roman" w:hAnsi="Times New Roman"/>
          <w:sz w:val="24"/>
          <w:szCs w:val="24"/>
        </w:rPr>
        <w:t xml:space="preserve"> superior</w:t>
      </w:r>
      <w:r w:rsidR="00F075CB" w:rsidRPr="001D7099">
        <w:rPr>
          <w:rStyle w:val="FootnoteReference"/>
          <w:rFonts w:ascii="Times New Roman" w:hAnsi="Times New Roman"/>
          <w:sz w:val="24"/>
          <w:szCs w:val="24"/>
        </w:rPr>
        <w:footnoteReference w:id="19"/>
      </w:r>
      <w:r w:rsidR="00F075CB" w:rsidRPr="001D7099">
        <w:rPr>
          <w:rFonts w:ascii="Times New Roman" w:hAnsi="Times New Roman"/>
          <w:sz w:val="24"/>
          <w:szCs w:val="24"/>
        </w:rPr>
        <w:t xml:space="preserve">. </w:t>
      </w:r>
      <w:r w:rsidR="000E7700" w:rsidRPr="001D7099">
        <w:rPr>
          <w:rFonts w:ascii="Times New Roman" w:hAnsi="Times New Roman"/>
          <w:sz w:val="24"/>
          <w:szCs w:val="24"/>
        </w:rPr>
        <w:t xml:space="preserve">Nesse cenário, o contributo da agricultura no crescimento do ISJ seria de apenas 22%. </w:t>
      </w:r>
      <w:r w:rsidR="0032179C" w:rsidRPr="001D7099">
        <w:rPr>
          <w:rFonts w:ascii="Times New Roman" w:hAnsi="Times New Roman"/>
          <w:sz w:val="24"/>
          <w:szCs w:val="24"/>
        </w:rPr>
        <w:t xml:space="preserve">O contributo das categorias profissionais </w:t>
      </w:r>
      <w:r w:rsidR="000D0ECD" w:rsidRPr="001D7099">
        <w:rPr>
          <w:rFonts w:ascii="Times New Roman" w:hAnsi="Times New Roman"/>
          <w:sz w:val="24"/>
          <w:szCs w:val="24"/>
        </w:rPr>
        <w:t xml:space="preserve">qualificadas </w:t>
      </w:r>
      <w:r w:rsidR="0032179C" w:rsidRPr="001D7099">
        <w:rPr>
          <w:rFonts w:ascii="Times New Roman" w:hAnsi="Times New Roman"/>
          <w:sz w:val="24"/>
          <w:szCs w:val="24"/>
        </w:rPr>
        <w:t xml:space="preserve">seria, naturalmente, superior caso o skill premium não declinasse durante esse período (B2). </w:t>
      </w:r>
    </w:p>
    <w:p w14:paraId="2E72273E" w14:textId="300D1924" w:rsidR="00B942DD" w:rsidRPr="001D7099" w:rsidRDefault="00C862F2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 </w:t>
      </w:r>
      <w:r w:rsidR="0032179C" w:rsidRPr="001D7099">
        <w:rPr>
          <w:rFonts w:ascii="Times New Roman" w:hAnsi="Times New Roman"/>
          <w:sz w:val="24"/>
          <w:szCs w:val="24"/>
        </w:rPr>
        <w:t xml:space="preserve">No período entre 1750-1813, ocorre </w:t>
      </w:r>
      <w:r w:rsidR="00274A5C" w:rsidRPr="001D7099">
        <w:rPr>
          <w:rFonts w:ascii="Times New Roman" w:hAnsi="Times New Roman"/>
          <w:sz w:val="24"/>
          <w:szCs w:val="24"/>
        </w:rPr>
        <w:t>uma alteração da estrutura ocupacional da populacional no sentido da redução da fração relativa das categorias profissionais qualificadas: ligeira queda da urbanização e queda significativa da categoria RNAG</w:t>
      </w:r>
      <w:r w:rsidR="00E56FF2" w:rsidRPr="001D7099">
        <w:rPr>
          <w:rFonts w:ascii="Times New Roman" w:hAnsi="Times New Roman"/>
          <w:sz w:val="24"/>
          <w:szCs w:val="24"/>
        </w:rPr>
        <w:t>, o</w:t>
      </w:r>
      <w:r w:rsidR="004E0B41" w:rsidRPr="001D7099">
        <w:rPr>
          <w:rFonts w:ascii="Times New Roman" w:hAnsi="Times New Roman"/>
          <w:sz w:val="24"/>
          <w:szCs w:val="24"/>
        </w:rPr>
        <w:t xml:space="preserve"> que deveria </w:t>
      </w:r>
      <w:r w:rsidR="00274A5C" w:rsidRPr="001D7099">
        <w:rPr>
          <w:rFonts w:ascii="Times New Roman" w:hAnsi="Times New Roman"/>
          <w:sz w:val="24"/>
          <w:szCs w:val="24"/>
        </w:rPr>
        <w:t>impactar negativamente o ISJ</w:t>
      </w:r>
      <w:r w:rsidR="004E0B41" w:rsidRPr="001D7099">
        <w:rPr>
          <w:rFonts w:ascii="Times New Roman" w:hAnsi="Times New Roman"/>
          <w:sz w:val="24"/>
          <w:szCs w:val="24"/>
        </w:rPr>
        <w:t>.</w:t>
      </w:r>
      <w:r w:rsidR="00274A5C" w:rsidRPr="001D7099">
        <w:rPr>
          <w:rFonts w:ascii="Times New Roman" w:hAnsi="Times New Roman"/>
          <w:sz w:val="24"/>
          <w:szCs w:val="24"/>
        </w:rPr>
        <w:t xml:space="preserve"> </w:t>
      </w:r>
      <w:r w:rsidR="004E0B41" w:rsidRPr="001D7099">
        <w:rPr>
          <w:rFonts w:ascii="Times New Roman" w:hAnsi="Times New Roman"/>
          <w:sz w:val="24"/>
          <w:szCs w:val="24"/>
        </w:rPr>
        <w:t>P</w:t>
      </w:r>
      <w:r w:rsidR="00274A5C" w:rsidRPr="001D7099">
        <w:rPr>
          <w:rFonts w:ascii="Times New Roman" w:hAnsi="Times New Roman"/>
          <w:sz w:val="24"/>
          <w:szCs w:val="24"/>
        </w:rPr>
        <w:t>orém o contributo da estrutura populacional é marginalmente positivo (5%) no cenário em que os salários jornaleiros não se alteram (A1)</w:t>
      </w:r>
      <w:r w:rsidR="00B942DD" w:rsidRPr="001D7099">
        <w:rPr>
          <w:rFonts w:ascii="Times New Roman" w:hAnsi="Times New Roman"/>
          <w:sz w:val="24"/>
          <w:szCs w:val="24"/>
        </w:rPr>
        <w:t xml:space="preserve">, embora o crescimento daí decorrente seja </w:t>
      </w:r>
      <w:r w:rsidR="00AF6C37" w:rsidRPr="001D7099">
        <w:rPr>
          <w:rFonts w:ascii="Times New Roman" w:hAnsi="Times New Roman"/>
          <w:sz w:val="24"/>
          <w:szCs w:val="24"/>
        </w:rPr>
        <w:t xml:space="preserve">modesto </w:t>
      </w:r>
      <w:r w:rsidR="00B942DD" w:rsidRPr="001D7099">
        <w:rPr>
          <w:rFonts w:ascii="Times New Roman" w:hAnsi="Times New Roman"/>
          <w:sz w:val="24"/>
          <w:szCs w:val="24"/>
        </w:rPr>
        <w:t xml:space="preserve">(0,09%/ano). Esse efeito explica-se pelo </w:t>
      </w:r>
      <w:r w:rsidR="00274A5C" w:rsidRPr="001D7099">
        <w:rPr>
          <w:rFonts w:ascii="Times New Roman" w:hAnsi="Times New Roman"/>
          <w:sz w:val="24"/>
          <w:szCs w:val="24"/>
        </w:rPr>
        <w:t xml:space="preserve">skill premium </w:t>
      </w:r>
      <w:r w:rsidR="00B942DD" w:rsidRPr="001D7099">
        <w:rPr>
          <w:rFonts w:ascii="Times New Roman" w:hAnsi="Times New Roman"/>
          <w:sz w:val="24"/>
          <w:szCs w:val="24"/>
        </w:rPr>
        <w:t xml:space="preserve">registar </w:t>
      </w:r>
      <w:r w:rsidR="00274A5C" w:rsidRPr="001D7099">
        <w:rPr>
          <w:rFonts w:ascii="Times New Roman" w:hAnsi="Times New Roman"/>
          <w:sz w:val="24"/>
          <w:szCs w:val="24"/>
        </w:rPr>
        <w:t xml:space="preserve">um aumento importante neste período (passando de cerca 1,6 para 1,75). Caso skill premium não apresentasse essa evolução (B1), a variação da estrutura ocupacional da população contribuiria negativamente para o ISR, </w:t>
      </w:r>
      <w:r w:rsidR="00343CEE" w:rsidRPr="001D7099">
        <w:rPr>
          <w:rFonts w:ascii="Times New Roman" w:hAnsi="Times New Roman"/>
          <w:sz w:val="24"/>
          <w:szCs w:val="24"/>
        </w:rPr>
        <w:t>levando a um crescimento do ISJ quase nulo</w:t>
      </w:r>
      <w:r w:rsidR="00D23C74">
        <w:rPr>
          <w:rFonts w:ascii="Times New Roman" w:hAnsi="Times New Roman"/>
          <w:sz w:val="24"/>
          <w:szCs w:val="24"/>
        </w:rPr>
        <w:t xml:space="preserve"> – </w:t>
      </w:r>
      <w:r w:rsidR="00E56FF2" w:rsidRPr="001D7099">
        <w:rPr>
          <w:rFonts w:ascii="Times New Roman" w:hAnsi="Times New Roman"/>
          <w:sz w:val="24"/>
          <w:szCs w:val="24"/>
        </w:rPr>
        <w:t xml:space="preserve">compensado pelo </w:t>
      </w:r>
      <w:r w:rsidR="00274A5C" w:rsidRPr="001D7099">
        <w:rPr>
          <w:rFonts w:ascii="Times New Roman" w:hAnsi="Times New Roman"/>
          <w:sz w:val="24"/>
          <w:szCs w:val="24"/>
        </w:rPr>
        <w:t>aumento do input de trabalho</w:t>
      </w:r>
      <w:r w:rsidR="00343CEE" w:rsidRPr="001D7099">
        <w:rPr>
          <w:rFonts w:ascii="Times New Roman" w:hAnsi="Times New Roman"/>
          <w:sz w:val="24"/>
          <w:szCs w:val="24"/>
        </w:rPr>
        <w:t xml:space="preserve"> pc</w:t>
      </w:r>
      <w:r w:rsidR="00274A5C" w:rsidRPr="001D7099">
        <w:rPr>
          <w:rFonts w:ascii="Times New Roman" w:hAnsi="Times New Roman"/>
          <w:sz w:val="24"/>
          <w:szCs w:val="24"/>
        </w:rPr>
        <w:t>.</w:t>
      </w:r>
      <w:r w:rsidR="00CF4A3B" w:rsidRPr="001D7099">
        <w:rPr>
          <w:rFonts w:ascii="Times New Roman" w:hAnsi="Times New Roman"/>
          <w:sz w:val="24"/>
          <w:szCs w:val="24"/>
        </w:rPr>
        <w:t xml:space="preserve"> </w:t>
      </w:r>
      <w:r w:rsidR="00D23C74">
        <w:rPr>
          <w:rFonts w:ascii="Times New Roman" w:hAnsi="Times New Roman"/>
          <w:sz w:val="24"/>
          <w:szCs w:val="24"/>
        </w:rPr>
        <w:t xml:space="preserve">No cenário proxy do PIB pc (A2), </w:t>
      </w:r>
      <w:r w:rsidR="00CF4A3B" w:rsidRPr="001D7099">
        <w:rPr>
          <w:rFonts w:ascii="Times New Roman" w:hAnsi="Times New Roman"/>
          <w:sz w:val="24"/>
          <w:szCs w:val="24"/>
        </w:rPr>
        <w:t xml:space="preserve">os dados indicam que a contração dos salários jornaleiros foi o elemento </w:t>
      </w:r>
      <w:r w:rsidR="00D23C74">
        <w:rPr>
          <w:rFonts w:ascii="Times New Roman" w:hAnsi="Times New Roman"/>
          <w:sz w:val="24"/>
          <w:szCs w:val="24"/>
        </w:rPr>
        <w:t xml:space="preserve">fundamental </w:t>
      </w:r>
      <w:r w:rsidR="00CF4A3B" w:rsidRPr="001D7099">
        <w:rPr>
          <w:rFonts w:ascii="Times New Roman" w:hAnsi="Times New Roman"/>
          <w:sz w:val="24"/>
          <w:szCs w:val="24"/>
        </w:rPr>
        <w:t xml:space="preserve">para a queda do ISR, </w:t>
      </w:r>
      <w:r w:rsidR="00343CEE" w:rsidRPr="001D7099">
        <w:rPr>
          <w:rFonts w:ascii="Times New Roman" w:hAnsi="Times New Roman"/>
          <w:sz w:val="24"/>
          <w:szCs w:val="24"/>
        </w:rPr>
        <w:t>tendo</w:t>
      </w:r>
      <w:r w:rsidR="00CF4A3B" w:rsidRPr="001D7099">
        <w:rPr>
          <w:rFonts w:ascii="Times New Roman" w:hAnsi="Times New Roman"/>
          <w:sz w:val="24"/>
          <w:szCs w:val="24"/>
        </w:rPr>
        <w:t xml:space="preserve"> a estrutura ocupacional tido um efeito nulo, </w:t>
      </w:r>
      <w:r w:rsidR="00343CEE" w:rsidRPr="001D7099">
        <w:rPr>
          <w:rFonts w:ascii="Times New Roman" w:hAnsi="Times New Roman"/>
          <w:sz w:val="24"/>
          <w:szCs w:val="24"/>
        </w:rPr>
        <w:t>e a variação do input de trabalho tido um impacto positivo</w:t>
      </w:r>
      <w:r w:rsidR="004E0B41" w:rsidRPr="001D7099">
        <w:rPr>
          <w:rFonts w:ascii="Times New Roman" w:hAnsi="Times New Roman"/>
          <w:sz w:val="24"/>
          <w:szCs w:val="24"/>
        </w:rPr>
        <w:t xml:space="preserve"> (+7%)</w:t>
      </w:r>
      <w:r w:rsidR="00343CEE" w:rsidRPr="001D7099">
        <w:rPr>
          <w:rFonts w:ascii="Times New Roman" w:hAnsi="Times New Roman"/>
          <w:sz w:val="24"/>
          <w:szCs w:val="24"/>
        </w:rPr>
        <w:t xml:space="preserve">, mas </w:t>
      </w:r>
      <w:r w:rsidR="004E0B41" w:rsidRPr="001D7099">
        <w:rPr>
          <w:rFonts w:ascii="Times New Roman" w:hAnsi="Times New Roman"/>
          <w:sz w:val="24"/>
          <w:szCs w:val="24"/>
        </w:rPr>
        <w:t>reduzido</w:t>
      </w:r>
      <w:r w:rsidR="00CF4A3B" w:rsidRPr="001D7099">
        <w:rPr>
          <w:rFonts w:ascii="Times New Roman" w:hAnsi="Times New Roman"/>
          <w:sz w:val="24"/>
          <w:szCs w:val="24"/>
        </w:rPr>
        <w:t xml:space="preserve">. Tratando-se de uma contração mobilizada pela queda </w:t>
      </w:r>
      <w:r w:rsidR="00B942DD" w:rsidRPr="001D7099">
        <w:rPr>
          <w:rFonts w:ascii="Times New Roman" w:hAnsi="Times New Roman"/>
          <w:sz w:val="24"/>
          <w:szCs w:val="24"/>
        </w:rPr>
        <w:t xml:space="preserve">efetiva </w:t>
      </w:r>
      <w:r w:rsidR="00CF4A3B" w:rsidRPr="001D7099">
        <w:rPr>
          <w:rFonts w:ascii="Times New Roman" w:hAnsi="Times New Roman"/>
          <w:sz w:val="24"/>
          <w:szCs w:val="24"/>
        </w:rPr>
        <w:t xml:space="preserve">dos salários, todas as categorias profissionais </w:t>
      </w:r>
      <w:r w:rsidR="00B942DD" w:rsidRPr="001D7099">
        <w:rPr>
          <w:rFonts w:ascii="Times New Roman" w:hAnsi="Times New Roman"/>
          <w:sz w:val="24"/>
          <w:szCs w:val="24"/>
        </w:rPr>
        <w:t xml:space="preserve">apresentam uma contribuição negativa, </w:t>
      </w:r>
      <w:r w:rsidR="00CF4A3B" w:rsidRPr="001D7099">
        <w:rPr>
          <w:rFonts w:ascii="Times New Roman" w:hAnsi="Times New Roman"/>
          <w:sz w:val="24"/>
          <w:szCs w:val="24"/>
        </w:rPr>
        <w:t>embora a categoria RNAG</w:t>
      </w:r>
      <w:r w:rsidR="00B942DD" w:rsidRPr="001D7099">
        <w:rPr>
          <w:rFonts w:ascii="Times New Roman" w:hAnsi="Times New Roman"/>
          <w:sz w:val="24"/>
          <w:szCs w:val="24"/>
        </w:rPr>
        <w:t xml:space="preserve"> seja responsável por quase 40% desse declínio (A2). </w:t>
      </w:r>
      <w:r w:rsidR="00D23C74">
        <w:rPr>
          <w:rFonts w:ascii="Times New Roman" w:hAnsi="Times New Roman"/>
          <w:sz w:val="24"/>
          <w:szCs w:val="24"/>
        </w:rPr>
        <w:t xml:space="preserve">A leitura dos dados não se altera substancialmente no </w:t>
      </w:r>
      <w:r w:rsidR="00B942DD" w:rsidRPr="001D7099">
        <w:rPr>
          <w:rFonts w:ascii="Times New Roman" w:hAnsi="Times New Roman"/>
          <w:sz w:val="24"/>
          <w:szCs w:val="24"/>
        </w:rPr>
        <w:t xml:space="preserve">cenário de não variação do skill premium (B2). </w:t>
      </w:r>
    </w:p>
    <w:p w14:paraId="5A3976D9" w14:textId="74BFAD67" w:rsidR="00B942DD" w:rsidRPr="001D7099" w:rsidRDefault="00B942DD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Entre 1813-1850, mant</w:t>
      </w:r>
      <w:r w:rsidR="00D23C74">
        <w:rPr>
          <w:rFonts w:ascii="Times New Roman" w:hAnsi="Times New Roman"/>
          <w:sz w:val="24"/>
          <w:szCs w:val="24"/>
        </w:rPr>
        <w:t>é</w:t>
      </w:r>
      <w:r w:rsidRPr="001D7099">
        <w:rPr>
          <w:rFonts w:ascii="Times New Roman" w:hAnsi="Times New Roman"/>
          <w:sz w:val="24"/>
          <w:szCs w:val="24"/>
        </w:rPr>
        <w:t xml:space="preserve">m-se a tendência de declínio da fração ocupacional qualificada da população, embora também esteja um curso uma recomposição </w:t>
      </w:r>
      <w:r w:rsidR="00336F61" w:rsidRPr="001D7099">
        <w:rPr>
          <w:rFonts w:ascii="Times New Roman" w:hAnsi="Times New Roman"/>
          <w:sz w:val="24"/>
          <w:szCs w:val="24"/>
        </w:rPr>
        <w:t xml:space="preserve">nesse </w:t>
      </w:r>
      <w:r w:rsidRPr="001D7099">
        <w:rPr>
          <w:rFonts w:ascii="Times New Roman" w:hAnsi="Times New Roman"/>
          <w:sz w:val="24"/>
          <w:szCs w:val="24"/>
        </w:rPr>
        <w:t xml:space="preserve">setor </w:t>
      </w:r>
      <w:r w:rsidR="004E0B41" w:rsidRPr="001D7099">
        <w:rPr>
          <w:rFonts w:ascii="Times New Roman" w:hAnsi="Times New Roman"/>
          <w:sz w:val="24"/>
          <w:szCs w:val="24"/>
        </w:rPr>
        <w:t xml:space="preserve">no sentido </w:t>
      </w:r>
      <w:r w:rsidRPr="001D7099">
        <w:rPr>
          <w:rFonts w:ascii="Times New Roman" w:hAnsi="Times New Roman"/>
          <w:sz w:val="24"/>
          <w:szCs w:val="24"/>
        </w:rPr>
        <w:t xml:space="preserve">do </w:t>
      </w:r>
      <w:r w:rsidRPr="001D7099">
        <w:rPr>
          <w:rFonts w:ascii="Times New Roman" w:hAnsi="Times New Roman"/>
          <w:sz w:val="24"/>
          <w:szCs w:val="24"/>
        </w:rPr>
        <w:lastRenderedPageBreak/>
        <w:t xml:space="preserve">aumento do peso da categoria Urbana. </w:t>
      </w:r>
      <w:r w:rsidR="00336F61" w:rsidRPr="001D7099">
        <w:rPr>
          <w:rFonts w:ascii="Times New Roman" w:hAnsi="Times New Roman"/>
          <w:sz w:val="24"/>
          <w:szCs w:val="24"/>
        </w:rPr>
        <w:t xml:space="preserve">Caso os SJ não variassem (A1), a resultante do aumento estrito da contributo da categoria Urbana e redução da RNAG seria negativo (-186% vs. +142%). Porém, considerando que essa recomposição também conduz a um aumento da categoria Agrícola, </w:t>
      </w:r>
      <w:r w:rsidR="00D23C74">
        <w:rPr>
          <w:rFonts w:ascii="Times New Roman" w:hAnsi="Times New Roman"/>
          <w:sz w:val="24"/>
          <w:szCs w:val="24"/>
        </w:rPr>
        <w:t>essa</w:t>
      </w:r>
      <w:r w:rsidR="00336F61" w:rsidRPr="001D7099">
        <w:rPr>
          <w:rFonts w:ascii="Times New Roman" w:hAnsi="Times New Roman"/>
          <w:sz w:val="24"/>
          <w:szCs w:val="24"/>
        </w:rPr>
        <w:t xml:space="preserve"> variação da estrutura ocupacional teria um efeito positivo no ISR, embora inferior ao do aumento do input de trabalho e conduzisse a </w:t>
      </w:r>
      <w:r w:rsidR="00343CEE" w:rsidRPr="001D7099">
        <w:rPr>
          <w:rFonts w:ascii="Times New Roman" w:hAnsi="Times New Roman"/>
          <w:sz w:val="24"/>
          <w:szCs w:val="24"/>
        </w:rPr>
        <w:t xml:space="preserve">um crescimento </w:t>
      </w:r>
      <w:r w:rsidR="00E56FF2" w:rsidRPr="001D7099">
        <w:rPr>
          <w:rFonts w:ascii="Times New Roman" w:hAnsi="Times New Roman"/>
          <w:sz w:val="24"/>
          <w:szCs w:val="24"/>
        </w:rPr>
        <w:t>moderado</w:t>
      </w:r>
      <w:r w:rsidR="00343CEE" w:rsidRPr="001D7099">
        <w:rPr>
          <w:rFonts w:ascii="Times New Roman" w:hAnsi="Times New Roman"/>
          <w:sz w:val="24"/>
          <w:szCs w:val="24"/>
        </w:rPr>
        <w:t xml:space="preserve"> do ISR (+0,14%)</w:t>
      </w:r>
      <w:r w:rsidR="00336F61" w:rsidRPr="001D7099">
        <w:rPr>
          <w:rFonts w:ascii="Times New Roman" w:hAnsi="Times New Roman"/>
          <w:sz w:val="24"/>
          <w:szCs w:val="24"/>
        </w:rPr>
        <w:t>.</w:t>
      </w:r>
      <w:r w:rsidR="00343CEE" w:rsidRPr="001D7099">
        <w:rPr>
          <w:rFonts w:ascii="Times New Roman" w:hAnsi="Times New Roman"/>
          <w:sz w:val="24"/>
          <w:szCs w:val="24"/>
        </w:rPr>
        <w:t xml:space="preserve"> Contudo, este crescimento seria inteiramente anulado no caso d</w:t>
      </w:r>
      <w:r w:rsidR="004E0B41" w:rsidRPr="001D7099">
        <w:rPr>
          <w:rFonts w:ascii="Times New Roman" w:hAnsi="Times New Roman"/>
          <w:sz w:val="24"/>
          <w:szCs w:val="24"/>
        </w:rPr>
        <w:t>o</w:t>
      </w:r>
      <w:r w:rsidR="00343CEE" w:rsidRPr="001D7099">
        <w:rPr>
          <w:rFonts w:ascii="Times New Roman" w:hAnsi="Times New Roman"/>
          <w:sz w:val="24"/>
          <w:szCs w:val="24"/>
        </w:rPr>
        <w:t xml:space="preserve"> skill premium não variar (B1) </w:t>
      </w:r>
      <w:r w:rsidR="004E0B41" w:rsidRPr="001D7099">
        <w:rPr>
          <w:rFonts w:ascii="Times New Roman" w:hAnsi="Times New Roman"/>
          <w:sz w:val="24"/>
          <w:szCs w:val="24"/>
        </w:rPr>
        <w:t xml:space="preserve">na medida </w:t>
      </w:r>
      <w:r w:rsidR="00343CEE" w:rsidRPr="001D7099">
        <w:rPr>
          <w:rFonts w:ascii="Times New Roman" w:hAnsi="Times New Roman"/>
          <w:sz w:val="24"/>
          <w:szCs w:val="24"/>
        </w:rPr>
        <w:t xml:space="preserve">que </w:t>
      </w:r>
      <w:r w:rsidR="00D23C74">
        <w:rPr>
          <w:rFonts w:ascii="Times New Roman" w:hAnsi="Times New Roman"/>
          <w:sz w:val="24"/>
          <w:szCs w:val="24"/>
        </w:rPr>
        <w:t xml:space="preserve">este aumentou </w:t>
      </w:r>
      <w:r w:rsidR="00343CEE" w:rsidRPr="001D7099">
        <w:rPr>
          <w:rFonts w:ascii="Times New Roman" w:hAnsi="Times New Roman"/>
          <w:sz w:val="24"/>
          <w:szCs w:val="24"/>
        </w:rPr>
        <w:t>durante o período (passando de cerca 1,75 para 2,0)</w:t>
      </w:r>
      <w:r w:rsidR="00A22BB4" w:rsidRPr="001D7099">
        <w:rPr>
          <w:rFonts w:ascii="Times New Roman" w:hAnsi="Times New Roman"/>
          <w:sz w:val="24"/>
          <w:szCs w:val="24"/>
        </w:rPr>
        <w:t xml:space="preserve"> e </w:t>
      </w:r>
      <w:r w:rsidR="00343CEE" w:rsidRPr="001D7099">
        <w:rPr>
          <w:rFonts w:ascii="Times New Roman" w:hAnsi="Times New Roman"/>
          <w:sz w:val="24"/>
          <w:szCs w:val="24"/>
        </w:rPr>
        <w:t xml:space="preserve">a </w:t>
      </w:r>
      <w:r w:rsidR="00AF6C37" w:rsidRPr="001D7099">
        <w:rPr>
          <w:rFonts w:ascii="Times New Roman" w:hAnsi="Times New Roman"/>
          <w:sz w:val="24"/>
          <w:szCs w:val="24"/>
        </w:rPr>
        <w:t xml:space="preserve">resultante da </w:t>
      </w:r>
      <w:r w:rsidR="00343CEE" w:rsidRPr="001D7099">
        <w:rPr>
          <w:rFonts w:ascii="Times New Roman" w:hAnsi="Times New Roman"/>
          <w:sz w:val="24"/>
          <w:szCs w:val="24"/>
        </w:rPr>
        <w:t xml:space="preserve">alteração da estrutura ocupacional </w:t>
      </w:r>
      <w:r w:rsidR="004E0B41" w:rsidRPr="001D7099">
        <w:rPr>
          <w:rFonts w:ascii="Times New Roman" w:hAnsi="Times New Roman"/>
          <w:sz w:val="24"/>
          <w:szCs w:val="24"/>
        </w:rPr>
        <w:t xml:space="preserve">seria </w:t>
      </w:r>
      <w:r w:rsidR="00343CEE" w:rsidRPr="001D7099">
        <w:rPr>
          <w:rFonts w:ascii="Times New Roman" w:hAnsi="Times New Roman"/>
          <w:sz w:val="24"/>
          <w:szCs w:val="24"/>
        </w:rPr>
        <w:t>inócua</w:t>
      </w:r>
      <w:r w:rsidR="00A22BB4" w:rsidRPr="001D7099">
        <w:rPr>
          <w:rFonts w:ascii="Times New Roman" w:hAnsi="Times New Roman"/>
          <w:sz w:val="24"/>
          <w:szCs w:val="24"/>
        </w:rPr>
        <w:t>.</w:t>
      </w:r>
      <w:r w:rsidR="00343CEE" w:rsidRPr="001D7099">
        <w:rPr>
          <w:rFonts w:ascii="Times New Roman" w:hAnsi="Times New Roman"/>
          <w:sz w:val="24"/>
          <w:szCs w:val="24"/>
        </w:rPr>
        <w:t xml:space="preserve"> </w:t>
      </w:r>
      <w:r w:rsidR="00A22BB4" w:rsidRPr="001D7099">
        <w:rPr>
          <w:rFonts w:ascii="Times New Roman" w:hAnsi="Times New Roman"/>
          <w:sz w:val="24"/>
          <w:szCs w:val="24"/>
        </w:rPr>
        <w:t xml:space="preserve">No cenário proxy de crescimento real (A2), </w:t>
      </w:r>
      <w:r w:rsidR="00336F61" w:rsidRPr="001D7099">
        <w:rPr>
          <w:rFonts w:ascii="Times New Roman" w:hAnsi="Times New Roman"/>
          <w:sz w:val="24"/>
          <w:szCs w:val="24"/>
        </w:rPr>
        <w:t xml:space="preserve">a recomposição do setor qualificado resulta num impacto positivo (+55% vs. -18%) </w:t>
      </w:r>
      <w:r w:rsidR="00A22BB4" w:rsidRPr="001D7099">
        <w:rPr>
          <w:rFonts w:ascii="Times New Roman" w:hAnsi="Times New Roman"/>
          <w:sz w:val="24"/>
          <w:szCs w:val="24"/>
        </w:rPr>
        <w:t xml:space="preserve">– </w:t>
      </w:r>
      <w:r w:rsidR="00E56FF2" w:rsidRPr="001D7099">
        <w:rPr>
          <w:rFonts w:ascii="Times New Roman" w:hAnsi="Times New Roman"/>
          <w:sz w:val="24"/>
          <w:szCs w:val="24"/>
        </w:rPr>
        <w:t xml:space="preserve">dando </w:t>
      </w:r>
      <w:r w:rsidR="00336F61" w:rsidRPr="001D7099">
        <w:rPr>
          <w:rFonts w:ascii="Times New Roman" w:hAnsi="Times New Roman"/>
          <w:sz w:val="24"/>
          <w:szCs w:val="24"/>
        </w:rPr>
        <w:t xml:space="preserve">resposta </w:t>
      </w:r>
      <w:r w:rsidR="00A22BB4" w:rsidRPr="001D7099">
        <w:rPr>
          <w:rFonts w:ascii="Times New Roman" w:hAnsi="Times New Roman"/>
          <w:sz w:val="24"/>
          <w:szCs w:val="24"/>
        </w:rPr>
        <w:t xml:space="preserve">à questão sobre qual a resultante dos movimentos antagónicos de recomposição ocupacional. </w:t>
      </w:r>
      <w:r w:rsidR="00336F61" w:rsidRPr="001D7099">
        <w:rPr>
          <w:rFonts w:ascii="Times New Roman" w:hAnsi="Times New Roman"/>
          <w:sz w:val="24"/>
          <w:szCs w:val="24"/>
        </w:rPr>
        <w:t xml:space="preserve">O impacto geral da variação da estrutura ocupacional permaneceu positivo (11%), embora </w:t>
      </w:r>
      <w:r w:rsidR="00A22BB4" w:rsidRPr="001D7099">
        <w:rPr>
          <w:rFonts w:ascii="Times New Roman" w:hAnsi="Times New Roman"/>
          <w:sz w:val="24"/>
          <w:szCs w:val="24"/>
        </w:rPr>
        <w:t>inferior ao do aumento do input de trabalho</w:t>
      </w:r>
      <w:r w:rsidR="00336F61" w:rsidRPr="001D7099">
        <w:rPr>
          <w:rFonts w:ascii="Times New Roman" w:hAnsi="Times New Roman"/>
          <w:sz w:val="24"/>
          <w:szCs w:val="24"/>
        </w:rPr>
        <w:t>.</w:t>
      </w:r>
      <w:r w:rsidR="00A22BB4" w:rsidRPr="001D7099">
        <w:rPr>
          <w:rFonts w:ascii="Times New Roman" w:hAnsi="Times New Roman"/>
          <w:sz w:val="24"/>
          <w:szCs w:val="24"/>
        </w:rPr>
        <w:t xml:space="preserve"> </w:t>
      </w:r>
      <w:r w:rsidR="00336F61" w:rsidRPr="001D7099">
        <w:rPr>
          <w:rFonts w:ascii="Times New Roman" w:hAnsi="Times New Roman"/>
          <w:sz w:val="24"/>
          <w:szCs w:val="24"/>
        </w:rPr>
        <w:t>T</w:t>
      </w:r>
      <w:r w:rsidR="00A22BB4" w:rsidRPr="001D7099">
        <w:rPr>
          <w:rFonts w:ascii="Times New Roman" w:hAnsi="Times New Roman"/>
          <w:sz w:val="24"/>
          <w:szCs w:val="24"/>
        </w:rPr>
        <w:t xml:space="preserve">al como </w:t>
      </w:r>
      <w:r w:rsidR="00325A89" w:rsidRPr="001D7099">
        <w:rPr>
          <w:rFonts w:ascii="Times New Roman" w:hAnsi="Times New Roman"/>
          <w:sz w:val="24"/>
          <w:szCs w:val="24"/>
        </w:rPr>
        <w:t>anteriormente</w:t>
      </w:r>
      <w:r w:rsidR="00A22BB4" w:rsidRPr="001D7099">
        <w:rPr>
          <w:rFonts w:ascii="Times New Roman" w:hAnsi="Times New Roman"/>
          <w:sz w:val="24"/>
          <w:szCs w:val="24"/>
        </w:rPr>
        <w:t xml:space="preserve">, a retoma foi sobretudo angariada pelo crescimento dos SJ (73%). </w:t>
      </w:r>
      <w:r w:rsidR="00325A89" w:rsidRPr="001D7099">
        <w:rPr>
          <w:rFonts w:ascii="Times New Roman" w:hAnsi="Times New Roman"/>
          <w:sz w:val="24"/>
          <w:szCs w:val="24"/>
        </w:rPr>
        <w:t xml:space="preserve">Nesse cenário, verifica-se que, apesar da categoria Agrícola ter sido a principal responsável pela retoma, categoria Urbana também </w:t>
      </w:r>
      <w:r w:rsidR="00E56FF2" w:rsidRPr="001D7099">
        <w:rPr>
          <w:rFonts w:ascii="Times New Roman" w:hAnsi="Times New Roman"/>
          <w:sz w:val="24"/>
          <w:szCs w:val="24"/>
        </w:rPr>
        <w:t xml:space="preserve">teve </w:t>
      </w:r>
      <w:r w:rsidR="00325A89" w:rsidRPr="001D7099">
        <w:rPr>
          <w:rFonts w:ascii="Times New Roman" w:hAnsi="Times New Roman"/>
          <w:sz w:val="24"/>
          <w:szCs w:val="24"/>
        </w:rPr>
        <w:t xml:space="preserve">um contributo expressivo (apenas 15% inferior à Agrícola). </w:t>
      </w:r>
      <w:r w:rsidR="00E56FF2" w:rsidRPr="001D7099">
        <w:rPr>
          <w:rFonts w:ascii="Times New Roman" w:hAnsi="Times New Roman"/>
          <w:sz w:val="24"/>
          <w:szCs w:val="24"/>
        </w:rPr>
        <w:t>C</w:t>
      </w:r>
      <w:r w:rsidR="00325A89" w:rsidRPr="001D7099">
        <w:rPr>
          <w:rFonts w:ascii="Times New Roman" w:hAnsi="Times New Roman"/>
          <w:sz w:val="24"/>
          <w:szCs w:val="24"/>
        </w:rPr>
        <w:t>aso o skill premium não variasse (</w:t>
      </w:r>
      <w:r w:rsidR="00A22BB4" w:rsidRPr="001D7099">
        <w:rPr>
          <w:rFonts w:ascii="Times New Roman" w:hAnsi="Times New Roman"/>
          <w:sz w:val="24"/>
          <w:szCs w:val="24"/>
        </w:rPr>
        <w:t>B2</w:t>
      </w:r>
      <w:r w:rsidR="00325A89" w:rsidRPr="001D7099">
        <w:rPr>
          <w:rFonts w:ascii="Times New Roman" w:hAnsi="Times New Roman"/>
          <w:sz w:val="24"/>
          <w:szCs w:val="24"/>
        </w:rPr>
        <w:t>)</w:t>
      </w:r>
      <w:r w:rsidR="00A22BB4" w:rsidRPr="001D7099">
        <w:rPr>
          <w:rFonts w:ascii="Times New Roman" w:hAnsi="Times New Roman"/>
          <w:sz w:val="24"/>
          <w:szCs w:val="24"/>
        </w:rPr>
        <w:t xml:space="preserve">, o contributo </w:t>
      </w:r>
      <w:r w:rsidR="00337C5A" w:rsidRPr="001D7099">
        <w:rPr>
          <w:rFonts w:ascii="Times New Roman" w:hAnsi="Times New Roman"/>
          <w:sz w:val="24"/>
          <w:szCs w:val="24"/>
        </w:rPr>
        <w:t xml:space="preserve">da estrutura ocupacional </w:t>
      </w:r>
      <w:r w:rsidR="00325A89" w:rsidRPr="001D7099">
        <w:rPr>
          <w:rFonts w:ascii="Times New Roman" w:hAnsi="Times New Roman"/>
          <w:sz w:val="24"/>
          <w:szCs w:val="24"/>
        </w:rPr>
        <w:t xml:space="preserve">já </w:t>
      </w:r>
      <w:r w:rsidR="00337C5A" w:rsidRPr="001D7099">
        <w:rPr>
          <w:rFonts w:ascii="Times New Roman" w:hAnsi="Times New Roman"/>
          <w:sz w:val="24"/>
          <w:szCs w:val="24"/>
        </w:rPr>
        <w:t>seria negativo (-15%)</w:t>
      </w:r>
      <w:r w:rsidR="00325A89" w:rsidRPr="001D7099">
        <w:rPr>
          <w:rFonts w:ascii="Times New Roman" w:hAnsi="Times New Roman"/>
          <w:sz w:val="24"/>
          <w:szCs w:val="24"/>
        </w:rPr>
        <w:t xml:space="preserve"> e a participação da agricultura na retoma seria, naturalmente, superior.</w:t>
      </w:r>
      <w:r w:rsidR="00337C5A" w:rsidRPr="001D7099">
        <w:rPr>
          <w:rFonts w:ascii="Times New Roman" w:hAnsi="Times New Roman"/>
          <w:sz w:val="24"/>
          <w:szCs w:val="24"/>
        </w:rPr>
        <w:t xml:space="preserve"> </w:t>
      </w:r>
      <w:r w:rsidR="00D116AD" w:rsidRPr="001D7099">
        <w:rPr>
          <w:rFonts w:ascii="Times New Roman" w:hAnsi="Times New Roman"/>
          <w:sz w:val="24"/>
          <w:szCs w:val="24"/>
        </w:rPr>
        <w:t xml:space="preserve">Em ambos os cenários, apesar do </w:t>
      </w:r>
      <w:r w:rsidR="007A6A71" w:rsidRPr="001D7099">
        <w:rPr>
          <w:rFonts w:ascii="Times New Roman" w:hAnsi="Times New Roman"/>
          <w:sz w:val="24"/>
          <w:szCs w:val="24"/>
        </w:rPr>
        <w:t xml:space="preserve">crescimento de </w:t>
      </w:r>
      <w:r w:rsidR="00337C5A" w:rsidRPr="001D7099">
        <w:rPr>
          <w:rFonts w:ascii="Times New Roman" w:hAnsi="Times New Roman"/>
          <w:sz w:val="24"/>
          <w:szCs w:val="24"/>
        </w:rPr>
        <w:t>SJ</w:t>
      </w:r>
      <w:r w:rsidR="007A6A71" w:rsidRPr="001D7099">
        <w:rPr>
          <w:rFonts w:ascii="Times New Roman" w:hAnsi="Times New Roman"/>
          <w:sz w:val="24"/>
          <w:szCs w:val="24"/>
        </w:rPr>
        <w:t xml:space="preserve">, o contributo da categoria RNAG para o crescimento </w:t>
      </w:r>
      <w:r w:rsidR="00E56FF2" w:rsidRPr="001D7099">
        <w:rPr>
          <w:rFonts w:ascii="Times New Roman" w:hAnsi="Times New Roman"/>
          <w:sz w:val="24"/>
          <w:szCs w:val="24"/>
        </w:rPr>
        <w:t xml:space="preserve">é </w:t>
      </w:r>
      <w:r w:rsidR="00D116AD" w:rsidRPr="001D7099">
        <w:rPr>
          <w:rFonts w:ascii="Times New Roman" w:hAnsi="Times New Roman"/>
          <w:sz w:val="24"/>
          <w:szCs w:val="24"/>
        </w:rPr>
        <w:t>sempre</w:t>
      </w:r>
      <w:r w:rsidR="007A6A71" w:rsidRPr="001D7099">
        <w:rPr>
          <w:rFonts w:ascii="Times New Roman" w:hAnsi="Times New Roman"/>
          <w:sz w:val="24"/>
          <w:szCs w:val="24"/>
        </w:rPr>
        <w:t xml:space="preserve"> negativ</w:t>
      </w:r>
      <w:r w:rsidR="00E56FF2" w:rsidRPr="001D7099">
        <w:rPr>
          <w:rFonts w:ascii="Times New Roman" w:hAnsi="Times New Roman"/>
          <w:sz w:val="24"/>
          <w:szCs w:val="24"/>
        </w:rPr>
        <w:t>o</w:t>
      </w:r>
      <w:r w:rsidR="007A6A71" w:rsidRPr="001D7099">
        <w:rPr>
          <w:rFonts w:ascii="Times New Roman" w:hAnsi="Times New Roman"/>
          <w:sz w:val="24"/>
          <w:szCs w:val="24"/>
        </w:rPr>
        <w:t>.</w:t>
      </w:r>
      <w:r w:rsidR="00343CEE" w:rsidRPr="001D7099">
        <w:rPr>
          <w:rFonts w:ascii="Times New Roman" w:hAnsi="Times New Roman"/>
          <w:sz w:val="24"/>
          <w:szCs w:val="24"/>
        </w:rPr>
        <w:t xml:space="preserve"> </w:t>
      </w:r>
    </w:p>
    <w:p w14:paraId="2B243F6E" w14:textId="77777777" w:rsidR="00D23C74" w:rsidRDefault="00543999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>Em suma, este conjunto de resultados</w:t>
      </w:r>
      <w:r w:rsidR="00166F5D" w:rsidRPr="001D7099">
        <w:rPr>
          <w:rFonts w:ascii="Times New Roman" w:hAnsi="Times New Roman"/>
          <w:sz w:val="24"/>
          <w:szCs w:val="24"/>
        </w:rPr>
        <w:t xml:space="preserve"> permite aprofundar a análise efetuada apenas a partir dos dados do PIB e da estrutura ocupacional da população </w:t>
      </w:r>
      <w:r w:rsidR="00D23C74">
        <w:rPr>
          <w:rFonts w:ascii="Times New Roman" w:hAnsi="Times New Roman"/>
          <w:sz w:val="24"/>
          <w:szCs w:val="24"/>
        </w:rPr>
        <w:t xml:space="preserve">da secção </w:t>
      </w:r>
      <w:r w:rsidR="00D23C74">
        <w:rPr>
          <w:rFonts w:ascii="Times New Roman" w:hAnsi="Times New Roman"/>
          <w:sz w:val="24"/>
          <w:szCs w:val="24"/>
        </w:rPr>
        <w:fldChar w:fldCharType="begin"/>
      </w:r>
      <w:r w:rsidR="00D23C74">
        <w:rPr>
          <w:rFonts w:ascii="Times New Roman" w:hAnsi="Times New Roman"/>
          <w:sz w:val="24"/>
          <w:szCs w:val="24"/>
        </w:rPr>
        <w:instrText xml:space="preserve"> REF _Ref130984935 \r \h </w:instrText>
      </w:r>
      <w:r w:rsidR="00D23C74">
        <w:rPr>
          <w:rFonts w:ascii="Times New Roman" w:hAnsi="Times New Roman"/>
          <w:sz w:val="24"/>
          <w:szCs w:val="24"/>
        </w:rPr>
      </w:r>
      <w:r w:rsidR="00D23C74">
        <w:rPr>
          <w:rFonts w:ascii="Times New Roman" w:hAnsi="Times New Roman"/>
          <w:sz w:val="24"/>
          <w:szCs w:val="24"/>
        </w:rPr>
        <w:fldChar w:fldCharType="separate"/>
      </w:r>
      <w:r w:rsidR="00D23C74">
        <w:rPr>
          <w:rFonts w:ascii="Times New Roman" w:hAnsi="Times New Roman"/>
          <w:sz w:val="24"/>
          <w:szCs w:val="24"/>
        </w:rPr>
        <w:t>2.2</w:t>
      </w:r>
      <w:r w:rsidR="00D23C74">
        <w:rPr>
          <w:rFonts w:ascii="Times New Roman" w:hAnsi="Times New Roman"/>
          <w:sz w:val="24"/>
          <w:szCs w:val="24"/>
        </w:rPr>
        <w:fldChar w:fldCharType="end"/>
      </w:r>
      <w:r w:rsidR="00D23C74">
        <w:rPr>
          <w:rFonts w:ascii="Times New Roman" w:hAnsi="Times New Roman"/>
          <w:sz w:val="24"/>
          <w:szCs w:val="24"/>
        </w:rPr>
        <w:t xml:space="preserve">, </w:t>
      </w:r>
      <w:r w:rsidR="00AF6C37" w:rsidRPr="001D7099">
        <w:rPr>
          <w:rFonts w:ascii="Times New Roman" w:hAnsi="Times New Roman"/>
          <w:sz w:val="24"/>
          <w:szCs w:val="24"/>
        </w:rPr>
        <w:t xml:space="preserve">e responder às questões </w:t>
      </w:r>
      <w:r w:rsidR="001A2D5A" w:rsidRPr="001D7099">
        <w:rPr>
          <w:rFonts w:ascii="Times New Roman" w:hAnsi="Times New Roman"/>
          <w:sz w:val="24"/>
          <w:szCs w:val="24"/>
        </w:rPr>
        <w:t xml:space="preserve">aí enunciadas relativamente ao impacto das alterações na estrutura ocupacional da população. Realçam-se três conclusões. </w:t>
      </w:r>
    </w:p>
    <w:p w14:paraId="6FAC2F93" w14:textId="41E40368" w:rsidR="00462D26" w:rsidRPr="001D7099" w:rsidRDefault="00166F5D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Em primeiro, a importância </w:t>
      </w:r>
      <w:r w:rsidR="00325A89" w:rsidRPr="001D7099">
        <w:rPr>
          <w:rFonts w:ascii="Times New Roman" w:hAnsi="Times New Roman"/>
          <w:sz w:val="24"/>
          <w:szCs w:val="24"/>
        </w:rPr>
        <w:t xml:space="preserve">da indústria rural </w:t>
      </w:r>
      <w:r w:rsidR="00E512F0" w:rsidRPr="001D7099">
        <w:rPr>
          <w:rFonts w:ascii="Times New Roman" w:hAnsi="Times New Roman"/>
          <w:sz w:val="24"/>
          <w:szCs w:val="24"/>
        </w:rPr>
        <w:t xml:space="preserve">para a </w:t>
      </w:r>
      <w:r w:rsidRPr="001D7099">
        <w:rPr>
          <w:rFonts w:ascii="Times New Roman" w:hAnsi="Times New Roman"/>
          <w:sz w:val="24"/>
          <w:szCs w:val="24"/>
        </w:rPr>
        <w:t>morfologia da variação do ISR e do PIB</w:t>
      </w:r>
      <w:r w:rsidR="00A80799" w:rsidRPr="001D7099">
        <w:rPr>
          <w:rFonts w:ascii="Times New Roman" w:hAnsi="Times New Roman"/>
          <w:sz w:val="24"/>
          <w:szCs w:val="24"/>
        </w:rPr>
        <w:t xml:space="preserve">. A categoria RNAG foi preponderante para explicar o crescimento, o declínio, </w:t>
      </w:r>
      <w:r w:rsidR="00325A89" w:rsidRPr="001D7099">
        <w:rPr>
          <w:rFonts w:ascii="Times New Roman" w:hAnsi="Times New Roman"/>
          <w:sz w:val="24"/>
          <w:szCs w:val="24"/>
        </w:rPr>
        <w:t>e</w:t>
      </w:r>
      <w:r w:rsidR="00A80799" w:rsidRPr="001D7099">
        <w:rPr>
          <w:rFonts w:ascii="Times New Roman" w:hAnsi="Times New Roman"/>
          <w:sz w:val="24"/>
          <w:szCs w:val="24"/>
        </w:rPr>
        <w:t xml:space="preserve"> o tipo de </w:t>
      </w:r>
      <w:r w:rsidR="00A80799" w:rsidRPr="001D7099">
        <w:rPr>
          <w:rFonts w:ascii="Times New Roman" w:hAnsi="Times New Roman"/>
          <w:sz w:val="24"/>
          <w:szCs w:val="24"/>
        </w:rPr>
        <w:lastRenderedPageBreak/>
        <w:t xml:space="preserve">retoma que se </w:t>
      </w:r>
      <w:r w:rsidR="00325A89" w:rsidRPr="001D7099">
        <w:rPr>
          <w:rFonts w:ascii="Times New Roman" w:hAnsi="Times New Roman"/>
          <w:sz w:val="24"/>
          <w:szCs w:val="24"/>
        </w:rPr>
        <w:t>produziu</w:t>
      </w:r>
      <w:r w:rsidR="00964662" w:rsidRPr="001D7099">
        <w:rPr>
          <w:rFonts w:ascii="Times New Roman" w:hAnsi="Times New Roman"/>
          <w:sz w:val="24"/>
          <w:szCs w:val="24"/>
        </w:rPr>
        <w:t xml:space="preserve"> </w:t>
      </w:r>
      <w:r w:rsidR="00A80799" w:rsidRPr="001D7099">
        <w:rPr>
          <w:rFonts w:ascii="Times New Roman" w:hAnsi="Times New Roman"/>
          <w:sz w:val="24"/>
          <w:szCs w:val="24"/>
        </w:rPr>
        <w:t xml:space="preserve">entre 1600-1850. </w:t>
      </w:r>
      <w:r w:rsidR="00E512F0" w:rsidRPr="001D7099">
        <w:rPr>
          <w:rFonts w:ascii="Times New Roman" w:hAnsi="Times New Roman"/>
          <w:sz w:val="24"/>
          <w:szCs w:val="24"/>
        </w:rPr>
        <w:t xml:space="preserve">Entre 1600-1750, foi responsável por quase metade do crescimento verificado e, em </w:t>
      </w:r>
      <w:r w:rsidR="00A80799" w:rsidRPr="001D7099">
        <w:rPr>
          <w:rFonts w:ascii="Times New Roman" w:hAnsi="Times New Roman"/>
          <w:sz w:val="24"/>
          <w:szCs w:val="24"/>
        </w:rPr>
        <w:t>c.</w:t>
      </w:r>
      <w:r w:rsidR="00E512F0" w:rsidRPr="001D7099">
        <w:rPr>
          <w:rFonts w:ascii="Times New Roman" w:hAnsi="Times New Roman"/>
          <w:sz w:val="24"/>
          <w:szCs w:val="24"/>
        </w:rPr>
        <w:t xml:space="preserve">1750, a sua contribuição para </w:t>
      </w:r>
      <w:r w:rsidR="00A80799" w:rsidRPr="001D7099">
        <w:rPr>
          <w:rFonts w:ascii="Times New Roman" w:hAnsi="Times New Roman"/>
          <w:sz w:val="24"/>
          <w:szCs w:val="24"/>
        </w:rPr>
        <w:t>a formação do</w:t>
      </w:r>
      <w:r w:rsidR="00E512F0" w:rsidRPr="001D7099">
        <w:rPr>
          <w:rFonts w:ascii="Times New Roman" w:hAnsi="Times New Roman"/>
          <w:sz w:val="24"/>
          <w:szCs w:val="24"/>
        </w:rPr>
        <w:t xml:space="preserve"> ISR era </w:t>
      </w:r>
      <w:r w:rsidR="00A80799" w:rsidRPr="001D7099">
        <w:rPr>
          <w:rFonts w:ascii="Times New Roman" w:hAnsi="Times New Roman"/>
          <w:sz w:val="24"/>
          <w:szCs w:val="24"/>
        </w:rPr>
        <w:t xml:space="preserve">aproximadamente </w:t>
      </w:r>
      <w:r w:rsidR="00E512F0" w:rsidRPr="001D7099">
        <w:rPr>
          <w:rFonts w:ascii="Times New Roman" w:hAnsi="Times New Roman"/>
          <w:sz w:val="24"/>
          <w:szCs w:val="24"/>
        </w:rPr>
        <w:t>idêntica</w:t>
      </w:r>
      <w:r w:rsidR="001A2D5A" w:rsidRPr="001D7099">
        <w:rPr>
          <w:rFonts w:ascii="Times New Roman" w:hAnsi="Times New Roman"/>
          <w:sz w:val="24"/>
          <w:szCs w:val="24"/>
        </w:rPr>
        <w:t xml:space="preserve"> </w:t>
      </w:r>
      <w:r w:rsidR="00E512F0" w:rsidRPr="001D7099">
        <w:rPr>
          <w:rFonts w:ascii="Times New Roman" w:hAnsi="Times New Roman"/>
          <w:sz w:val="24"/>
          <w:szCs w:val="24"/>
        </w:rPr>
        <w:t xml:space="preserve">à da atividade agrícola. De igual modo, entre 1750-1813, foi responsável por cerca de 40% do declínio verificado. Apenas no </w:t>
      </w:r>
      <w:r w:rsidR="00135353" w:rsidRPr="001D7099">
        <w:rPr>
          <w:rFonts w:ascii="Times New Roman" w:hAnsi="Times New Roman"/>
          <w:sz w:val="24"/>
          <w:szCs w:val="24"/>
        </w:rPr>
        <w:t>intervalo</w:t>
      </w:r>
      <w:r w:rsidR="00E512F0" w:rsidRPr="001D7099">
        <w:rPr>
          <w:rFonts w:ascii="Times New Roman" w:hAnsi="Times New Roman"/>
          <w:sz w:val="24"/>
          <w:szCs w:val="24"/>
        </w:rPr>
        <w:t xml:space="preserve"> </w:t>
      </w:r>
      <w:r w:rsidR="00135353" w:rsidRPr="001D7099">
        <w:rPr>
          <w:rFonts w:ascii="Times New Roman" w:hAnsi="Times New Roman"/>
          <w:sz w:val="24"/>
          <w:szCs w:val="24"/>
        </w:rPr>
        <w:t xml:space="preserve">entre </w:t>
      </w:r>
      <w:r w:rsidR="00E512F0" w:rsidRPr="001D7099">
        <w:rPr>
          <w:rFonts w:ascii="Times New Roman" w:hAnsi="Times New Roman"/>
          <w:sz w:val="24"/>
          <w:szCs w:val="24"/>
        </w:rPr>
        <w:t xml:space="preserve">1813-1850, o seu contributo não foi decisivo para </w:t>
      </w:r>
      <w:r w:rsidR="00135353" w:rsidRPr="001D7099">
        <w:rPr>
          <w:rFonts w:ascii="Times New Roman" w:hAnsi="Times New Roman"/>
          <w:sz w:val="24"/>
          <w:szCs w:val="24"/>
        </w:rPr>
        <w:t>a evolução do ISR</w:t>
      </w:r>
      <w:r w:rsidR="00A80799" w:rsidRPr="001D7099">
        <w:rPr>
          <w:rFonts w:ascii="Times New Roman" w:hAnsi="Times New Roman"/>
          <w:sz w:val="24"/>
          <w:szCs w:val="24"/>
        </w:rPr>
        <w:t xml:space="preserve">, embora tenha </w:t>
      </w:r>
      <w:r w:rsidR="00D23C74">
        <w:rPr>
          <w:rFonts w:ascii="Times New Roman" w:hAnsi="Times New Roman"/>
          <w:sz w:val="24"/>
          <w:szCs w:val="24"/>
        </w:rPr>
        <w:t xml:space="preserve">limitado a intensidade e </w:t>
      </w:r>
      <w:r w:rsidR="00A80799" w:rsidRPr="001D7099">
        <w:rPr>
          <w:rFonts w:ascii="Times New Roman" w:hAnsi="Times New Roman"/>
          <w:sz w:val="24"/>
          <w:szCs w:val="24"/>
        </w:rPr>
        <w:t>o tipo de retoma que ocorreu.</w:t>
      </w:r>
      <w:r w:rsidR="00135353" w:rsidRPr="001D7099">
        <w:rPr>
          <w:rFonts w:ascii="Times New Roman" w:hAnsi="Times New Roman"/>
          <w:sz w:val="24"/>
          <w:szCs w:val="24"/>
        </w:rPr>
        <w:t xml:space="preserve"> Também aí, </w:t>
      </w:r>
      <w:r w:rsidR="00325A89" w:rsidRPr="001D7099">
        <w:rPr>
          <w:rFonts w:ascii="Times New Roman" w:hAnsi="Times New Roman"/>
          <w:sz w:val="24"/>
          <w:szCs w:val="24"/>
        </w:rPr>
        <w:t xml:space="preserve">foi </w:t>
      </w:r>
      <w:r w:rsidR="00135353" w:rsidRPr="001D7099">
        <w:rPr>
          <w:rFonts w:ascii="Times New Roman" w:hAnsi="Times New Roman"/>
          <w:sz w:val="24"/>
          <w:szCs w:val="24"/>
        </w:rPr>
        <w:t xml:space="preserve">possível aprofundar a análise </w:t>
      </w:r>
      <w:r w:rsidR="00325A89" w:rsidRPr="001D7099">
        <w:rPr>
          <w:rFonts w:ascii="Times New Roman" w:hAnsi="Times New Roman"/>
          <w:sz w:val="24"/>
          <w:szCs w:val="24"/>
        </w:rPr>
        <w:t xml:space="preserve">realizada </w:t>
      </w:r>
      <w:r w:rsidR="00135353" w:rsidRPr="001D7099">
        <w:rPr>
          <w:rFonts w:ascii="Times New Roman" w:hAnsi="Times New Roman"/>
          <w:sz w:val="24"/>
          <w:szCs w:val="24"/>
        </w:rPr>
        <w:t>anterior</w:t>
      </w:r>
      <w:r w:rsidR="00325A89" w:rsidRPr="001D7099">
        <w:rPr>
          <w:rFonts w:ascii="Times New Roman" w:hAnsi="Times New Roman"/>
          <w:sz w:val="24"/>
          <w:szCs w:val="24"/>
        </w:rPr>
        <w:t>mente em dois planos.</w:t>
      </w:r>
      <w:r w:rsidR="00135353" w:rsidRPr="001D7099">
        <w:rPr>
          <w:rFonts w:ascii="Times New Roman" w:hAnsi="Times New Roman"/>
          <w:sz w:val="24"/>
          <w:szCs w:val="24"/>
        </w:rPr>
        <w:t xml:space="preserve"> </w:t>
      </w:r>
      <w:r w:rsidR="00325A89" w:rsidRPr="001D7099">
        <w:rPr>
          <w:rFonts w:ascii="Times New Roman" w:hAnsi="Times New Roman"/>
          <w:sz w:val="24"/>
          <w:szCs w:val="24"/>
        </w:rPr>
        <w:t xml:space="preserve">Em primeiro, para os níveis de variação dos SJ e de skill premium, </w:t>
      </w:r>
      <w:r w:rsidR="00964662" w:rsidRPr="001D7099">
        <w:rPr>
          <w:rFonts w:ascii="Times New Roman" w:hAnsi="Times New Roman"/>
          <w:sz w:val="24"/>
          <w:szCs w:val="24"/>
        </w:rPr>
        <w:t xml:space="preserve">foi possível concluir que </w:t>
      </w:r>
      <w:r w:rsidR="00325A89" w:rsidRPr="001D7099">
        <w:rPr>
          <w:rFonts w:ascii="Times New Roman" w:hAnsi="Times New Roman"/>
          <w:sz w:val="24"/>
          <w:szCs w:val="24"/>
        </w:rPr>
        <w:t xml:space="preserve">a reconfiguração do setor qualificado teve um impacto positivo no crescimento. </w:t>
      </w:r>
      <w:r w:rsidR="00484A05" w:rsidRPr="001D7099">
        <w:rPr>
          <w:rFonts w:ascii="Times New Roman" w:hAnsi="Times New Roman"/>
          <w:sz w:val="24"/>
          <w:szCs w:val="24"/>
        </w:rPr>
        <w:t xml:space="preserve">Em segundo, a retoma nesse período foi mobilizada </w:t>
      </w:r>
      <w:r w:rsidR="00E56FF2" w:rsidRPr="001D7099">
        <w:rPr>
          <w:rFonts w:ascii="Times New Roman" w:hAnsi="Times New Roman"/>
          <w:sz w:val="24"/>
          <w:szCs w:val="24"/>
        </w:rPr>
        <w:t xml:space="preserve">não só </w:t>
      </w:r>
      <w:r w:rsidR="00484A05" w:rsidRPr="001D7099">
        <w:rPr>
          <w:rFonts w:ascii="Times New Roman" w:hAnsi="Times New Roman"/>
          <w:sz w:val="24"/>
          <w:szCs w:val="24"/>
        </w:rPr>
        <w:t xml:space="preserve">pelo setor agrícola, mas </w:t>
      </w:r>
      <w:r w:rsidR="00D23C74">
        <w:rPr>
          <w:rFonts w:ascii="Times New Roman" w:hAnsi="Times New Roman"/>
          <w:sz w:val="24"/>
          <w:szCs w:val="24"/>
        </w:rPr>
        <w:t xml:space="preserve">também pela </w:t>
      </w:r>
      <w:r w:rsidR="00135353" w:rsidRPr="001D7099">
        <w:rPr>
          <w:rFonts w:ascii="Times New Roman" w:hAnsi="Times New Roman"/>
          <w:sz w:val="24"/>
          <w:szCs w:val="24"/>
        </w:rPr>
        <w:t xml:space="preserve">categoria Urbana. </w:t>
      </w:r>
    </w:p>
    <w:p w14:paraId="14034C19" w14:textId="51C95EF0" w:rsidR="00841BB9" w:rsidRPr="001D7099" w:rsidRDefault="00135353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Em segundo, </w:t>
      </w:r>
      <w:r w:rsidR="004421B8" w:rsidRPr="001D7099">
        <w:rPr>
          <w:rFonts w:ascii="Times New Roman" w:hAnsi="Times New Roman"/>
          <w:sz w:val="24"/>
          <w:szCs w:val="24"/>
        </w:rPr>
        <w:t>a variação do ISR foi, essencialmente, de carater ‘extensivo’ –  determinada pelos níveis de SJ – a partir de c. 1750. De facto, apenas d</w:t>
      </w:r>
      <w:r w:rsidR="00964662" w:rsidRPr="001D7099">
        <w:rPr>
          <w:rFonts w:ascii="Times New Roman" w:hAnsi="Times New Roman"/>
          <w:sz w:val="24"/>
          <w:szCs w:val="24"/>
        </w:rPr>
        <w:t xml:space="preserve">urante o período </w:t>
      </w:r>
      <w:r w:rsidR="00D23C74">
        <w:rPr>
          <w:rFonts w:ascii="Times New Roman" w:hAnsi="Times New Roman"/>
          <w:sz w:val="24"/>
          <w:szCs w:val="24"/>
        </w:rPr>
        <w:t xml:space="preserve">entre </w:t>
      </w:r>
      <w:r w:rsidR="00964662" w:rsidRPr="001D7099">
        <w:rPr>
          <w:rFonts w:ascii="Times New Roman" w:hAnsi="Times New Roman"/>
          <w:sz w:val="24"/>
          <w:szCs w:val="24"/>
        </w:rPr>
        <w:t xml:space="preserve">1600-1750, </w:t>
      </w:r>
      <w:r w:rsidR="004421B8" w:rsidRPr="001D7099">
        <w:rPr>
          <w:rFonts w:ascii="Times New Roman" w:hAnsi="Times New Roman"/>
          <w:sz w:val="24"/>
          <w:szCs w:val="24"/>
        </w:rPr>
        <w:t xml:space="preserve">a variação do ISJ esteve a associada a uma alteração da estrutura produtiva, tendo a contribuição da </w:t>
      </w:r>
      <w:r w:rsidR="00964662" w:rsidRPr="001D7099">
        <w:rPr>
          <w:rFonts w:ascii="Times New Roman" w:hAnsi="Times New Roman"/>
          <w:sz w:val="24"/>
          <w:szCs w:val="24"/>
        </w:rPr>
        <w:t xml:space="preserve">estrutura ocupacional e do input de trabalho </w:t>
      </w:r>
      <w:r w:rsidR="004421B8" w:rsidRPr="001D7099">
        <w:rPr>
          <w:rFonts w:ascii="Times New Roman" w:hAnsi="Times New Roman"/>
          <w:sz w:val="24"/>
          <w:szCs w:val="24"/>
        </w:rPr>
        <w:t xml:space="preserve">sido </w:t>
      </w:r>
      <w:r w:rsidR="00964662" w:rsidRPr="001D7099">
        <w:rPr>
          <w:rFonts w:ascii="Times New Roman" w:hAnsi="Times New Roman"/>
          <w:sz w:val="24"/>
          <w:szCs w:val="24"/>
        </w:rPr>
        <w:t>considerável (45%)</w:t>
      </w:r>
      <w:r w:rsidR="006E47AB" w:rsidRPr="001D7099">
        <w:rPr>
          <w:rFonts w:ascii="Times New Roman" w:hAnsi="Times New Roman"/>
          <w:sz w:val="24"/>
          <w:szCs w:val="24"/>
        </w:rPr>
        <w:t>.</w:t>
      </w:r>
      <w:r w:rsidR="00964662" w:rsidRPr="001D7099">
        <w:rPr>
          <w:rFonts w:ascii="Times New Roman" w:hAnsi="Times New Roman"/>
          <w:sz w:val="24"/>
          <w:szCs w:val="24"/>
        </w:rPr>
        <w:t xml:space="preserve"> </w:t>
      </w:r>
      <w:r w:rsidR="00D23C74">
        <w:rPr>
          <w:rFonts w:ascii="Times New Roman" w:hAnsi="Times New Roman"/>
          <w:sz w:val="24"/>
          <w:szCs w:val="24"/>
        </w:rPr>
        <w:t xml:space="preserve">Durante </w:t>
      </w:r>
      <w:r w:rsidR="00964662" w:rsidRPr="001D7099">
        <w:rPr>
          <w:rFonts w:ascii="Times New Roman" w:hAnsi="Times New Roman"/>
          <w:sz w:val="24"/>
          <w:szCs w:val="24"/>
        </w:rPr>
        <w:t>esse período, o impacto de mais pessoas qualificadas trabalharem mais dias por ano foi, aproximadamente</w:t>
      </w:r>
      <w:r w:rsidR="00EB492A" w:rsidRPr="001D7099">
        <w:rPr>
          <w:rFonts w:ascii="Times New Roman" w:hAnsi="Times New Roman"/>
          <w:sz w:val="24"/>
          <w:szCs w:val="24"/>
        </w:rPr>
        <w:t xml:space="preserve"> idêntico</w:t>
      </w:r>
      <w:r w:rsidR="00964662" w:rsidRPr="001D7099">
        <w:rPr>
          <w:rFonts w:ascii="Times New Roman" w:hAnsi="Times New Roman"/>
          <w:sz w:val="24"/>
          <w:szCs w:val="24"/>
        </w:rPr>
        <w:t xml:space="preserve">, </w:t>
      </w:r>
      <w:r w:rsidR="004421B8" w:rsidRPr="001D7099">
        <w:rPr>
          <w:rFonts w:ascii="Times New Roman" w:hAnsi="Times New Roman"/>
          <w:sz w:val="24"/>
          <w:szCs w:val="24"/>
        </w:rPr>
        <w:t xml:space="preserve">ao efeito do </w:t>
      </w:r>
      <w:r w:rsidR="006E47AB" w:rsidRPr="001D7099">
        <w:rPr>
          <w:rFonts w:ascii="Times New Roman" w:hAnsi="Times New Roman"/>
          <w:sz w:val="24"/>
          <w:szCs w:val="24"/>
        </w:rPr>
        <w:t xml:space="preserve">crescimento do nível salarial – teria sido até superior caso o skill premium não tivesse declinado. </w:t>
      </w:r>
      <w:r w:rsidR="00964662" w:rsidRPr="001D7099">
        <w:rPr>
          <w:rFonts w:ascii="Times New Roman" w:hAnsi="Times New Roman"/>
          <w:sz w:val="24"/>
          <w:szCs w:val="24"/>
        </w:rPr>
        <w:t xml:space="preserve">Pelo contrário, a partir de c. 1750, </w:t>
      </w:r>
      <w:r w:rsidR="004421B8" w:rsidRPr="001D7099">
        <w:rPr>
          <w:rFonts w:ascii="Times New Roman" w:hAnsi="Times New Roman"/>
          <w:sz w:val="24"/>
          <w:szCs w:val="24"/>
        </w:rPr>
        <w:t xml:space="preserve">apesar das alterações profundas da estrutura ocupacional, </w:t>
      </w:r>
      <w:r w:rsidR="00964662" w:rsidRPr="001D7099">
        <w:rPr>
          <w:rFonts w:ascii="Times New Roman" w:hAnsi="Times New Roman"/>
          <w:sz w:val="24"/>
          <w:szCs w:val="24"/>
        </w:rPr>
        <w:t>a evolução do ISR foi essencialmente determinada pela variação do SJ</w:t>
      </w:r>
      <w:r w:rsidR="006E47AB" w:rsidRPr="001D7099">
        <w:rPr>
          <w:rFonts w:ascii="Times New Roman" w:hAnsi="Times New Roman"/>
          <w:sz w:val="24"/>
          <w:szCs w:val="24"/>
        </w:rPr>
        <w:t xml:space="preserve"> – tanto no recuo, como na retoma económica.</w:t>
      </w:r>
      <w:r w:rsidR="00BF2101" w:rsidRPr="001D7099">
        <w:rPr>
          <w:rFonts w:ascii="Times New Roman" w:hAnsi="Times New Roman"/>
          <w:sz w:val="24"/>
          <w:szCs w:val="24"/>
        </w:rPr>
        <w:t xml:space="preserve"> </w:t>
      </w:r>
    </w:p>
    <w:p w14:paraId="6DCEDE35" w14:textId="04EBD78E" w:rsidR="00841BB9" w:rsidRPr="001D7099" w:rsidRDefault="00841BB9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1D7099">
        <w:rPr>
          <w:rFonts w:ascii="Times New Roman" w:hAnsi="Times New Roman"/>
          <w:sz w:val="24"/>
          <w:szCs w:val="24"/>
        </w:rPr>
        <w:t xml:space="preserve">Finalmente, </w:t>
      </w:r>
      <w:r w:rsidR="00A80799" w:rsidRPr="001D7099">
        <w:rPr>
          <w:rFonts w:ascii="Times New Roman" w:hAnsi="Times New Roman"/>
          <w:sz w:val="24"/>
          <w:szCs w:val="24"/>
        </w:rPr>
        <w:t>deve salientar-se o impacto da variação crescente do input de trabalho pc</w:t>
      </w:r>
      <w:r w:rsidR="003E4710" w:rsidRPr="001D7099">
        <w:rPr>
          <w:rFonts w:ascii="Times New Roman" w:hAnsi="Times New Roman"/>
          <w:sz w:val="24"/>
          <w:szCs w:val="24"/>
        </w:rPr>
        <w:t>, sobretudo nas categorias Agrícolas e RNAG, onde essa evolução foi mais intensa</w:t>
      </w:r>
      <w:r w:rsidR="004421B8" w:rsidRPr="001D7099">
        <w:rPr>
          <w:rFonts w:ascii="Times New Roman" w:hAnsi="Times New Roman"/>
          <w:sz w:val="24"/>
          <w:szCs w:val="24"/>
        </w:rPr>
        <w:t>.</w:t>
      </w:r>
      <w:r w:rsidR="006E47AB" w:rsidRPr="001D7099">
        <w:rPr>
          <w:rFonts w:ascii="Times New Roman" w:hAnsi="Times New Roman"/>
          <w:sz w:val="24"/>
          <w:szCs w:val="24"/>
        </w:rPr>
        <w:t xml:space="preserve"> </w:t>
      </w:r>
      <w:r w:rsidR="00FA0860" w:rsidRPr="001D7099">
        <w:rPr>
          <w:rFonts w:ascii="Times New Roman" w:hAnsi="Times New Roman"/>
          <w:sz w:val="24"/>
          <w:szCs w:val="24"/>
        </w:rPr>
        <w:t xml:space="preserve">Nos intervalos 1750-1813 e 1813-1850, a contribuição </w:t>
      </w:r>
      <w:r w:rsidR="00A80799" w:rsidRPr="001D7099">
        <w:rPr>
          <w:rFonts w:ascii="Times New Roman" w:hAnsi="Times New Roman"/>
          <w:sz w:val="24"/>
          <w:szCs w:val="24"/>
        </w:rPr>
        <w:t xml:space="preserve">desse fator </w:t>
      </w:r>
      <w:r w:rsidR="00FA0860" w:rsidRPr="001D7099">
        <w:rPr>
          <w:rFonts w:ascii="Times New Roman" w:hAnsi="Times New Roman"/>
          <w:sz w:val="24"/>
          <w:szCs w:val="24"/>
        </w:rPr>
        <w:t>permit</w:t>
      </w:r>
      <w:r w:rsidR="00A80799" w:rsidRPr="001D7099">
        <w:rPr>
          <w:rFonts w:ascii="Times New Roman" w:hAnsi="Times New Roman"/>
          <w:sz w:val="24"/>
          <w:szCs w:val="24"/>
        </w:rPr>
        <w:t>iu</w:t>
      </w:r>
      <w:r w:rsidR="00FA0860" w:rsidRPr="001D7099">
        <w:rPr>
          <w:rFonts w:ascii="Times New Roman" w:hAnsi="Times New Roman"/>
          <w:sz w:val="24"/>
          <w:szCs w:val="24"/>
        </w:rPr>
        <w:t>, mesmo no cenário mais gravoso em que o skill premium não se altera</w:t>
      </w:r>
      <w:r w:rsidR="004421B8" w:rsidRPr="001D7099">
        <w:rPr>
          <w:rFonts w:ascii="Times New Roman" w:hAnsi="Times New Roman"/>
          <w:sz w:val="24"/>
          <w:szCs w:val="24"/>
        </w:rPr>
        <w:t>va</w:t>
      </w:r>
      <w:r w:rsidR="00FA0860" w:rsidRPr="001D7099">
        <w:rPr>
          <w:rFonts w:ascii="Times New Roman" w:hAnsi="Times New Roman"/>
          <w:sz w:val="24"/>
          <w:szCs w:val="24"/>
        </w:rPr>
        <w:t>, anular o efeito negativo da estrutura ocupacional no ISR</w:t>
      </w:r>
      <w:r w:rsidR="00A80799" w:rsidRPr="001D7099">
        <w:rPr>
          <w:rFonts w:ascii="Times New Roman" w:hAnsi="Times New Roman"/>
          <w:sz w:val="24"/>
          <w:szCs w:val="24"/>
        </w:rPr>
        <w:t>,</w:t>
      </w:r>
      <w:r w:rsidR="00FA0860" w:rsidRPr="001D7099">
        <w:rPr>
          <w:rFonts w:ascii="Times New Roman" w:hAnsi="Times New Roman"/>
          <w:sz w:val="24"/>
          <w:szCs w:val="24"/>
        </w:rPr>
        <w:t xml:space="preserve"> e no intervalo 1600-1750, </w:t>
      </w:r>
      <w:r w:rsidR="004421B8" w:rsidRPr="001D7099">
        <w:rPr>
          <w:rFonts w:ascii="Times New Roman" w:hAnsi="Times New Roman"/>
          <w:sz w:val="24"/>
          <w:szCs w:val="24"/>
        </w:rPr>
        <w:t xml:space="preserve">foi </w:t>
      </w:r>
      <w:r w:rsidR="00921A35" w:rsidRPr="001D7099">
        <w:rPr>
          <w:rFonts w:ascii="Times New Roman" w:hAnsi="Times New Roman"/>
          <w:sz w:val="24"/>
          <w:szCs w:val="24"/>
        </w:rPr>
        <w:t xml:space="preserve">responsável por cerca de 28% do </w:t>
      </w:r>
      <w:r w:rsidR="00921A35" w:rsidRPr="001D7099">
        <w:rPr>
          <w:rFonts w:ascii="Times New Roman" w:hAnsi="Times New Roman"/>
          <w:sz w:val="24"/>
          <w:szCs w:val="24"/>
        </w:rPr>
        <w:lastRenderedPageBreak/>
        <w:t>crescimento. Ou seja, a evolução</w:t>
      </w:r>
      <w:r w:rsidR="00D23C74">
        <w:rPr>
          <w:rFonts w:ascii="Times New Roman" w:hAnsi="Times New Roman"/>
          <w:sz w:val="24"/>
          <w:szCs w:val="24"/>
        </w:rPr>
        <w:t>, tanto</w:t>
      </w:r>
      <w:r w:rsidR="00921A35" w:rsidRPr="001D7099">
        <w:rPr>
          <w:rFonts w:ascii="Times New Roman" w:hAnsi="Times New Roman"/>
          <w:sz w:val="24"/>
          <w:szCs w:val="24"/>
        </w:rPr>
        <w:t xml:space="preserve"> do ISJ </w:t>
      </w:r>
      <w:r w:rsidR="00D23C74">
        <w:rPr>
          <w:rFonts w:ascii="Times New Roman" w:hAnsi="Times New Roman"/>
          <w:sz w:val="24"/>
          <w:szCs w:val="24"/>
        </w:rPr>
        <w:t xml:space="preserve">como do </w:t>
      </w:r>
      <w:r w:rsidR="00921A35" w:rsidRPr="001D7099">
        <w:rPr>
          <w:rFonts w:ascii="Times New Roman" w:hAnsi="Times New Roman"/>
          <w:sz w:val="24"/>
          <w:szCs w:val="24"/>
        </w:rPr>
        <w:t xml:space="preserve">PIB seria substancialmente </w:t>
      </w:r>
      <w:r w:rsidR="00D23C74">
        <w:rPr>
          <w:rFonts w:ascii="Times New Roman" w:hAnsi="Times New Roman"/>
          <w:sz w:val="24"/>
          <w:szCs w:val="24"/>
        </w:rPr>
        <w:t>menos positivo</w:t>
      </w:r>
      <w:r w:rsidR="00921A35" w:rsidRPr="001D7099">
        <w:rPr>
          <w:rFonts w:ascii="Times New Roman" w:hAnsi="Times New Roman"/>
          <w:sz w:val="24"/>
          <w:szCs w:val="24"/>
        </w:rPr>
        <w:t xml:space="preserve"> – crescimento menos robusto e declínios mais acentuados – caso tivesse sido considerado um input de trabalho constante,  </w:t>
      </w:r>
      <w:r w:rsidR="00D23C74">
        <w:rPr>
          <w:rFonts w:ascii="Times New Roman" w:hAnsi="Times New Roman"/>
          <w:sz w:val="24"/>
          <w:szCs w:val="24"/>
        </w:rPr>
        <w:t xml:space="preserve">o </w:t>
      </w:r>
      <w:r w:rsidR="00921A35" w:rsidRPr="001D7099">
        <w:rPr>
          <w:rFonts w:ascii="Times New Roman" w:hAnsi="Times New Roman"/>
          <w:sz w:val="24"/>
          <w:szCs w:val="24"/>
        </w:rPr>
        <w:t xml:space="preserve">que sublinha a importância </w:t>
      </w:r>
      <w:r w:rsidR="004421B8" w:rsidRPr="001D7099">
        <w:rPr>
          <w:rFonts w:ascii="Times New Roman" w:hAnsi="Times New Roman"/>
          <w:sz w:val="24"/>
          <w:szCs w:val="24"/>
        </w:rPr>
        <w:t>na caracterização d</w:t>
      </w:r>
      <w:r w:rsidR="00921A35" w:rsidRPr="001D7099">
        <w:rPr>
          <w:rFonts w:ascii="Times New Roman" w:hAnsi="Times New Roman"/>
          <w:sz w:val="24"/>
          <w:szCs w:val="24"/>
        </w:rPr>
        <w:t xml:space="preserve">essa variável. </w:t>
      </w:r>
    </w:p>
    <w:p w14:paraId="223D9DD1" w14:textId="77777777" w:rsidR="00EB492A" w:rsidRPr="001D7099" w:rsidRDefault="00EB492A" w:rsidP="00694E7A">
      <w:pPr>
        <w:ind w:firstLine="142"/>
        <w:rPr>
          <w:rFonts w:ascii="Times New Roman" w:hAnsi="Times New Roman"/>
          <w:sz w:val="24"/>
          <w:szCs w:val="24"/>
        </w:rPr>
      </w:pPr>
    </w:p>
    <w:p w14:paraId="54A5597C" w14:textId="22F88C85" w:rsidR="00DC31A8" w:rsidRDefault="005F05DC" w:rsidP="00730434">
      <w:pPr>
        <w:pStyle w:val="Heading1"/>
      </w:pPr>
      <w:bookmarkStart w:id="22" w:name="_Toc137755370"/>
      <w:r w:rsidRPr="00B47801">
        <w:t>A</w:t>
      </w:r>
      <w:r w:rsidR="008655A7" w:rsidRPr="00B47801">
        <w:t xml:space="preserve"> Categoria RNAG na Expansão e no Declínio Económico</w:t>
      </w:r>
      <w:bookmarkEnd w:id="22"/>
    </w:p>
    <w:p w14:paraId="57C25789" w14:textId="65F926E1" w:rsidR="007D5DB0" w:rsidRPr="001D7099" w:rsidRDefault="007D5DB0" w:rsidP="00730434">
      <w:pPr>
        <w:pStyle w:val="Heading1"/>
        <w:numPr>
          <w:ilvl w:val="1"/>
          <w:numId w:val="36"/>
        </w:numPr>
      </w:pPr>
      <w:r>
        <w:t>Fontes</w:t>
      </w:r>
      <w:r w:rsidR="00167E0E">
        <w:t xml:space="preserve">, Pressupostos e </w:t>
      </w:r>
      <w:r w:rsidR="00956B19">
        <w:t xml:space="preserve">Atividade </w:t>
      </w:r>
      <w:r w:rsidR="00167E0E">
        <w:t xml:space="preserve">Económica </w:t>
      </w:r>
    </w:p>
    <w:p w14:paraId="04F0F510" w14:textId="753FC76C" w:rsidR="00956B19" w:rsidRDefault="00891B70" w:rsidP="00956B19">
      <w:pPr>
        <w:tabs>
          <w:tab w:val="left" w:pos="5103"/>
        </w:tabs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304E13">
        <w:rPr>
          <w:rFonts w:ascii="Times New Roman" w:hAnsi="Times New Roman"/>
          <w:sz w:val="24"/>
          <w:szCs w:val="24"/>
        </w:rPr>
        <w:t xml:space="preserve">Os resultados apurados na secção precedente realçam a importância do economia rural não agrícola, não só </w:t>
      </w:r>
      <w:r w:rsidR="0074533C" w:rsidRPr="00304E13">
        <w:rPr>
          <w:rFonts w:ascii="Times New Roman" w:hAnsi="Times New Roman"/>
          <w:sz w:val="24"/>
          <w:szCs w:val="24"/>
        </w:rPr>
        <w:t xml:space="preserve">enquanto </w:t>
      </w:r>
      <w:r w:rsidRPr="00304E13">
        <w:rPr>
          <w:rFonts w:ascii="Times New Roman" w:hAnsi="Times New Roman"/>
          <w:sz w:val="24"/>
          <w:szCs w:val="24"/>
        </w:rPr>
        <w:t xml:space="preserve">principal motor do crescimento económico pré-industrial, como </w:t>
      </w:r>
      <w:r w:rsidR="0074533C" w:rsidRPr="00304E13">
        <w:rPr>
          <w:rFonts w:ascii="Times New Roman" w:hAnsi="Times New Roman"/>
          <w:sz w:val="24"/>
          <w:szCs w:val="24"/>
        </w:rPr>
        <w:t xml:space="preserve">também </w:t>
      </w:r>
      <w:r w:rsidRPr="00304E13">
        <w:rPr>
          <w:rFonts w:ascii="Times New Roman" w:hAnsi="Times New Roman"/>
          <w:sz w:val="24"/>
          <w:szCs w:val="24"/>
        </w:rPr>
        <w:t xml:space="preserve">uma das principais responsáveis pelo declínio </w:t>
      </w:r>
      <w:r w:rsidR="00D23C74" w:rsidRPr="00304E13">
        <w:rPr>
          <w:rFonts w:ascii="Times New Roman" w:hAnsi="Times New Roman"/>
          <w:sz w:val="24"/>
          <w:szCs w:val="24"/>
        </w:rPr>
        <w:t>que se seguiu</w:t>
      </w:r>
      <w:r w:rsidRPr="00304E13">
        <w:rPr>
          <w:rFonts w:ascii="Times New Roman" w:hAnsi="Times New Roman"/>
          <w:sz w:val="24"/>
          <w:szCs w:val="24"/>
        </w:rPr>
        <w:t xml:space="preserve">. </w:t>
      </w:r>
      <w:r w:rsidR="0074533C" w:rsidRPr="00304E13">
        <w:rPr>
          <w:rFonts w:ascii="Times New Roman" w:hAnsi="Times New Roman"/>
          <w:sz w:val="24"/>
          <w:szCs w:val="24"/>
        </w:rPr>
        <w:t xml:space="preserve">Em que consistia este setor da economia? Como aferir </w:t>
      </w:r>
      <w:r w:rsidR="00304E13" w:rsidRPr="00304E13">
        <w:rPr>
          <w:rFonts w:ascii="Times New Roman" w:hAnsi="Times New Roman"/>
          <w:sz w:val="24"/>
          <w:szCs w:val="24"/>
        </w:rPr>
        <w:t>a evolução do seu peso e impacto na economia? Esta análise está sujeita a duas dificuldades importantes: i) a dificuldade em definir as atividades económicas associadas à categoria profissional RNAG</w:t>
      </w:r>
      <w:r w:rsidR="00304E13" w:rsidRPr="00304E13">
        <w:rPr>
          <w:rStyle w:val="FootnoteReference"/>
          <w:rFonts w:ascii="Times New Roman" w:hAnsi="Times New Roman"/>
          <w:sz w:val="24"/>
          <w:szCs w:val="24"/>
        </w:rPr>
        <w:footnoteReference w:id="20"/>
      </w:r>
      <w:r w:rsidR="00304E13" w:rsidRPr="00304E13">
        <w:rPr>
          <w:rFonts w:ascii="Times New Roman" w:hAnsi="Times New Roman"/>
          <w:sz w:val="24"/>
          <w:szCs w:val="24"/>
        </w:rPr>
        <w:t>, e ii) a escassez de fontes com informação estatística sistematizada da atividade económica durante esta cronologia –  praticamente inexistentes no caso dos salários</w:t>
      </w:r>
      <w:r w:rsidR="00304E13" w:rsidRPr="00304E13">
        <w:rPr>
          <w:rStyle w:val="FootnoteReference"/>
          <w:rFonts w:ascii="Times New Roman" w:hAnsi="Times New Roman"/>
          <w:sz w:val="24"/>
          <w:szCs w:val="24"/>
        </w:rPr>
        <w:footnoteReference w:id="21"/>
      </w:r>
      <w:r w:rsidR="00304E13" w:rsidRPr="00304E13">
        <w:rPr>
          <w:rFonts w:ascii="Times New Roman" w:hAnsi="Times New Roman"/>
          <w:sz w:val="24"/>
          <w:szCs w:val="24"/>
        </w:rPr>
        <w:t xml:space="preserve"> e limitadas relativamente à estrutura ocupacional, sobretudo até último quartel dos Setecentos.</w:t>
      </w:r>
      <w:r w:rsidR="00304E13">
        <w:rPr>
          <w:rFonts w:ascii="Times New Roman" w:hAnsi="Times New Roman"/>
          <w:sz w:val="24"/>
          <w:szCs w:val="24"/>
        </w:rPr>
        <w:t xml:space="preserve"> </w:t>
      </w:r>
      <w:r w:rsidR="00A3407E">
        <w:rPr>
          <w:rFonts w:ascii="Times New Roman" w:hAnsi="Times New Roman"/>
          <w:sz w:val="24"/>
          <w:szCs w:val="24"/>
        </w:rPr>
        <w:t xml:space="preserve">Procurar-se-á apresentar uma primeira abordagem a estas questões nesta secção. </w:t>
      </w:r>
    </w:p>
    <w:p w14:paraId="796AF920" w14:textId="2C5ACAEC" w:rsidR="00C63522" w:rsidRDefault="0074533C" w:rsidP="00A3407E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A3407E">
        <w:rPr>
          <w:rFonts w:ascii="Times New Roman" w:hAnsi="Times New Roman"/>
          <w:sz w:val="24"/>
          <w:szCs w:val="24"/>
        </w:rPr>
        <w:t xml:space="preserve">Como </w:t>
      </w:r>
      <w:r w:rsidR="00A3407E" w:rsidRPr="00A3407E">
        <w:rPr>
          <w:rFonts w:ascii="Times New Roman" w:hAnsi="Times New Roman"/>
          <w:sz w:val="24"/>
          <w:szCs w:val="24"/>
        </w:rPr>
        <w:t>se</w:t>
      </w:r>
      <w:r w:rsidRPr="00A3407E">
        <w:rPr>
          <w:rFonts w:ascii="Times New Roman" w:hAnsi="Times New Roman"/>
          <w:sz w:val="24"/>
          <w:szCs w:val="24"/>
        </w:rPr>
        <w:t xml:space="preserve"> pode caracterizar a atividade económica da categoria RNAG? </w:t>
      </w:r>
      <w:r w:rsidR="008C5318">
        <w:rPr>
          <w:rFonts w:ascii="Times New Roman" w:hAnsi="Times New Roman"/>
          <w:sz w:val="24"/>
          <w:szCs w:val="24"/>
        </w:rPr>
        <w:t xml:space="preserve">Entre os dois extremos possíveis assinalados (cf. nota 20), a literatura identifica como </w:t>
      </w:r>
      <w:r w:rsidR="00A3407E" w:rsidRPr="00A3407E">
        <w:rPr>
          <w:rFonts w:ascii="Times New Roman" w:hAnsi="Times New Roman"/>
          <w:sz w:val="24"/>
          <w:szCs w:val="24"/>
        </w:rPr>
        <w:t xml:space="preserve">atividade </w:t>
      </w:r>
      <w:r w:rsidR="008C5318">
        <w:rPr>
          <w:rFonts w:ascii="Times New Roman" w:hAnsi="Times New Roman"/>
          <w:sz w:val="24"/>
          <w:szCs w:val="24"/>
        </w:rPr>
        <w:t xml:space="preserve">relevante associada a essa categoria </w:t>
      </w:r>
      <w:r w:rsidRPr="00A3407E">
        <w:rPr>
          <w:rFonts w:ascii="Times New Roman" w:hAnsi="Times New Roman"/>
          <w:sz w:val="24"/>
          <w:szCs w:val="24"/>
        </w:rPr>
        <w:t>a pequena produção industrial (Borges de Macedo 1982, 144; Pedreira 2005, 180), de natureza disseminada, à escala da oficina</w:t>
      </w:r>
      <w:r w:rsidR="00A3407E" w:rsidRPr="00A3407E">
        <w:rPr>
          <w:rFonts w:ascii="Times New Roman" w:hAnsi="Times New Roman"/>
          <w:sz w:val="24"/>
          <w:szCs w:val="24"/>
        </w:rPr>
        <w:t>,</w:t>
      </w:r>
      <w:r w:rsidRPr="00A3407E">
        <w:rPr>
          <w:rFonts w:ascii="Times New Roman" w:hAnsi="Times New Roman"/>
          <w:sz w:val="24"/>
          <w:szCs w:val="24"/>
        </w:rPr>
        <w:t xml:space="preserve"> e a «atividade </w:t>
      </w:r>
      <w:r w:rsidRPr="00A3407E">
        <w:rPr>
          <w:rFonts w:ascii="Times New Roman" w:hAnsi="Times New Roman"/>
          <w:sz w:val="24"/>
          <w:szCs w:val="24"/>
        </w:rPr>
        <w:lastRenderedPageBreak/>
        <w:t>exclusivamente caseira que, naturalmente, escapa ao inquiridor oficial» (Borges de Macedo 1989, 158).</w:t>
      </w:r>
      <w:r w:rsidRPr="00B47801">
        <w:rPr>
          <w:rFonts w:ascii="Times New Roman" w:hAnsi="Times New Roman"/>
          <w:sz w:val="24"/>
          <w:szCs w:val="24"/>
        </w:rPr>
        <w:t xml:space="preserve"> </w:t>
      </w:r>
      <w:r w:rsidR="00C63522" w:rsidRPr="00B47801">
        <w:rPr>
          <w:rFonts w:ascii="Times New Roman" w:hAnsi="Times New Roman"/>
          <w:sz w:val="24"/>
          <w:szCs w:val="24"/>
        </w:rPr>
        <w:t xml:space="preserve">Parte destas estruturas industriais revelavam </w:t>
      </w:r>
      <w:r w:rsidR="00C63522">
        <w:rPr>
          <w:rFonts w:ascii="Times New Roman" w:hAnsi="Times New Roman"/>
          <w:sz w:val="24"/>
          <w:szCs w:val="24"/>
        </w:rPr>
        <w:t>«</w:t>
      </w:r>
      <w:r w:rsidR="00C63522" w:rsidRPr="00B47801">
        <w:rPr>
          <w:rFonts w:ascii="Times New Roman" w:hAnsi="Times New Roman"/>
          <w:sz w:val="24"/>
          <w:szCs w:val="24"/>
        </w:rPr>
        <w:t>uma considerável indiferenciação de atividades económicas</w:t>
      </w:r>
      <w:r w:rsidR="00C63522">
        <w:rPr>
          <w:rFonts w:ascii="Times New Roman" w:hAnsi="Times New Roman"/>
          <w:sz w:val="24"/>
          <w:szCs w:val="24"/>
        </w:rPr>
        <w:t xml:space="preserve">» </w:t>
      </w:r>
      <w:r w:rsidR="00C63522" w:rsidRPr="00B47801">
        <w:rPr>
          <w:rFonts w:ascii="Times New Roman" w:hAnsi="Times New Roman"/>
          <w:sz w:val="24"/>
          <w:szCs w:val="24"/>
        </w:rPr>
        <w:t>(Pedreira 2005, 182), baseando a sua produção no trabalho artesanal e tendo como propósito principal satisfazer a procura local de produtos tradicionais</w:t>
      </w:r>
      <w:r w:rsidR="00C63522">
        <w:rPr>
          <w:rFonts w:ascii="Times New Roman" w:hAnsi="Times New Roman"/>
          <w:sz w:val="24"/>
          <w:szCs w:val="24"/>
        </w:rPr>
        <w:t xml:space="preserve"> – com especial incidência nas localidades não urbanas (Pop. &lt; </w:t>
      </w:r>
      <w:r w:rsidR="00C63522" w:rsidRPr="00B47801">
        <w:rPr>
          <w:rFonts w:ascii="Times New Roman" w:hAnsi="Times New Roman"/>
          <w:sz w:val="24"/>
          <w:szCs w:val="24"/>
        </w:rPr>
        <w:t>5,0 mil habitantes</w:t>
      </w:r>
      <w:r w:rsidR="00C63522">
        <w:rPr>
          <w:rFonts w:ascii="Times New Roman" w:hAnsi="Times New Roman"/>
          <w:sz w:val="24"/>
          <w:szCs w:val="24"/>
        </w:rPr>
        <w:t xml:space="preserve">.). </w:t>
      </w:r>
      <w:r w:rsidR="00C63522" w:rsidRPr="00B47801">
        <w:rPr>
          <w:rFonts w:ascii="Times New Roman" w:hAnsi="Times New Roman"/>
          <w:sz w:val="24"/>
          <w:szCs w:val="24"/>
        </w:rPr>
        <w:t xml:space="preserve">Outra parte apresentava algum grau de especialização e de direcionamento para o mercado, sobretudo no setor têxtil, atuando em estreita ligação com a disponibilidade de matérias-primas que resultava da produção agrícola local (Borges de Macedo 1982, 124; Madureira &amp; Cardoso Matos 2005, 135-36; Pedreira 1990, 542). </w:t>
      </w:r>
    </w:p>
    <w:p w14:paraId="17E42D80" w14:textId="77777777" w:rsidR="00C63522" w:rsidRPr="00B47801" w:rsidRDefault="00C63522" w:rsidP="00C63522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>A interligação com a atividade agrícola explica, em parte, o padrão de especialização regional que se desenvolveu: o linho no Minho, as sedas em Trás-os-Montes, os curtumes na Estremadura, e a lã, no Alentejo e na Serra da Estrela. Estes setores cresceram em importância durante esta cronologia, sobretudo durante o século XVIII, adquirindo uma escala que viabilizou, em alguns casos, a importação de matéria-prima e a exportação de produto acabado, sobretudo para o mercado colonial.</w:t>
      </w:r>
    </w:p>
    <w:p w14:paraId="27B23821" w14:textId="43799B4E" w:rsidR="00C63522" w:rsidRPr="00B47801" w:rsidRDefault="00C63522" w:rsidP="00C63522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O exemplo mais paradigmático do desenvolvimento deste tipo de indústria encontra-se na produção de panos de linho no Minho que, apesar do seu cariz doméstico e disperso, desenvolveu-se de forma significativa, e tornou-se </w:t>
      </w:r>
      <w:r w:rsidR="00A3407E">
        <w:rPr>
          <w:rFonts w:ascii="Times New Roman" w:hAnsi="Times New Roman"/>
          <w:sz w:val="24"/>
          <w:szCs w:val="24"/>
        </w:rPr>
        <w:t xml:space="preserve">num dos </w:t>
      </w:r>
      <w:r w:rsidRPr="00B47801">
        <w:rPr>
          <w:rFonts w:ascii="Times New Roman" w:hAnsi="Times New Roman"/>
          <w:sz w:val="24"/>
          <w:szCs w:val="24"/>
        </w:rPr>
        <w:t xml:space="preserve">principais </w:t>
      </w:r>
      <w:r w:rsidR="00A3407E">
        <w:rPr>
          <w:rFonts w:ascii="Times New Roman" w:hAnsi="Times New Roman"/>
          <w:sz w:val="24"/>
          <w:szCs w:val="24"/>
        </w:rPr>
        <w:t xml:space="preserve">produtos de </w:t>
      </w:r>
      <w:r w:rsidRPr="00B47801">
        <w:rPr>
          <w:rFonts w:ascii="Times New Roman" w:hAnsi="Times New Roman"/>
          <w:sz w:val="24"/>
          <w:szCs w:val="24"/>
        </w:rPr>
        <w:t>exportaç</w:t>
      </w:r>
      <w:r w:rsidR="00A3407E">
        <w:rPr>
          <w:rFonts w:ascii="Times New Roman" w:hAnsi="Times New Roman"/>
          <w:sz w:val="24"/>
          <w:szCs w:val="24"/>
        </w:rPr>
        <w:t>ão</w:t>
      </w:r>
      <w:r w:rsidRPr="00B47801">
        <w:rPr>
          <w:rFonts w:ascii="Times New Roman" w:hAnsi="Times New Roman"/>
          <w:sz w:val="24"/>
          <w:szCs w:val="24"/>
        </w:rPr>
        <w:t xml:space="preserve"> para o mercado colonial – formando, para alguma literatura, o exemplo mais próximo da emergência de uma proto-indústria em Portugal (Pedreira 2005, 184; Pedreira 1990, 530-31).</w:t>
      </w:r>
    </w:p>
    <w:p w14:paraId="7B201F67" w14:textId="104F2EA0" w:rsidR="00C63522" w:rsidRPr="00B47801" w:rsidRDefault="00C63522" w:rsidP="00C63522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90475C">
        <w:rPr>
          <w:rFonts w:ascii="Times New Roman" w:hAnsi="Times New Roman"/>
          <w:sz w:val="24"/>
          <w:szCs w:val="24"/>
        </w:rPr>
        <w:t xml:space="preserve">Outro setor têxtil de exportação de relevo era a indústria algodoeira, embora integrando uma estrutura de trabalho diferente. Este setor, dependente da importação de matéria-prima, instalou-se, inicialmente, em localidades fora dos grandes centros urbanos na componente da fiação e da tecelagem (Alcobaça, Azeitão), mas evoluiu, no final do século XVIII, para a </w:t>
      </w:r>
      <w:r w:rsidRPr="0090475C">
        <w:rPr>
          <w:rFonts w:ascii="Times New Roman" w:hAnsi="Times New Roman"/>
          <w:sz w:val="24"/>
          <w:szCs w:val="24"/>
        </w:rPr>
        <w:lastRenderedPageBreak/>
        <w:t>estamparia, concentrando sua atividade na região de Lisboa (Madureira 1997</w:t>
      </w:r>
      <w:r w:rsidR="00A3407E">
        <w:rPr>
          <w:rFonts w:ascii="Times New Roman" w:hAnsi="Times New Roman"/>
          <w:sz w:val="24"/>
          <w:szCs w:val="24"/>
        </w:rPr>
        <w:t xml:space="preserve">, </w:t>
      </w:r>
      <w:r w:rsidR="00A3407E" w:rsidRPr="00A3407E">
        <w:rPr>
          <w:rFonts w:ascii="Times New Roman" w:hAnsi="Times New Roman"/>
          <w:sz w:val="24"/>
          <w:szCs w:val="24"/>
        </w:rPr>
        <w:t>151-160</w:t>
      </w:r>
      <w:r w:rsidRPr="0090475C">
        <w:rPr>
          <w:rFonts w:ascii="Times New Roman" w:hAnsi="Times New Roman"/>
          <w:sz w:val="24"/>
          <w:szCs w:val="24"/>
        </w:rPr>
        <w:t>; Pedreira 1991).</w:t>
      </w:r>
      <w:r w:rsidRPr="00B47801">
        <w:rPr>
          <w:rFonts w:ascii="Times New Roman" w:hAnsi="Times New Roman"/>
          <w:sz w:val="24"/>
          <w:szCs w:val="24"/>
        </w:rPr>
        <w:t xml:space="preserve"> </w:t>
      </w:r>
    </w:p>
    <w:p w14:paraId="1A61B552" w14:textId="4DE02D7A" w:rsidR="00C63522" w:rsidRPr="00B47801" w:rsidRDefault="00C63522" w:rsidP="00C63522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 No lanifícios, a produção regional estava localizada na Serra da Estrela e no Alentejo. A região serrana tinha concentrado os esforços iniciais de fomento industrial com a instalação das primeiras manufaturas no último quartel do século XVII</w:t>
      </w:r>
      <w:r w:rsidR="00A3407E">
        <w:rPr>
          <w:rFonts w:ascii="Times New Roman" w:hAnsi="Times New Roman"/>
          <w:sz w:val="24"/>
          <w:szCs w:val="24"/>
        </w:rPr>
        <w:t xml:space="preserve"> </w:t>
      </w:r>
      <w:r w:rsidR="00A3407E" w:rsidRPr="00B47801">
        <w:rPr>
          <w:rFonts w:ascii="Times New Roman" w:hAnsi="Times New Roman"/>
          <w:sz w:val="24"/>
          <w:szCs w:val="24"/>
        </w:rPr>
        <w:t>(Manteigas, Covilhã)</w:t>
      </w:r>
      <w:r w:rsidRPr="00B47801">
        <w:rPr>
          <w:rFonts w:ascii="Times New Roman" w:hAnsi="Times New Roman"/>
          <w:sz w:val="24"/>
          <w:szCs w:val="24"/>
        </w:rPr>
        <w:t xml:space="preserve">. </w:t>
      </w:r>
      <w:r w:rsidR="00A3407E">
        <w:rPr>
          <w:rFonts w:ascii="Times New Roman" w:hAnsi="Times New Roman"/>
          <w:sz w:val="24"/>
          <w:szCs w:val="24"/>
        </w:rPr>
        <w:t>Porém, a</w:t>
      </w:r>
      <w:r w:rsidRPr="00B47801">
        <w:rPr>
          <w:rFonts w:ascii="Times New Roman" w:hAnsi="Times New Roman"/>
          <w:sz w:val="24"/>
          <w:szCs w:val="24"/>
        </w:rPr>
        <w:t xml:space="preserve"> indústria doméstica </w:t>
      </w:r>
      <w:r w:rsidR="00A3407E">
        <w:rPr>
          <w:rFonts w:ascii="Times New Roman" w:hAnsi="Times New Roman"/>
          <w:sz w:val="24"/>
          <w:szCs w:val="24"/>
        </w:rPr>
        <w:t xml:space="preserve">desenvolveu-se </w:t>
      </w:r>
      <w:r w:rsidRPr="00B47801">
        <w:rPr>
          <w:rFonts w:ascii="Times New Roman" w:hAnsi="Times New Roman"/>
          <w:sz w:val="24"/>
          <w:szCs w:val="24"/>
        </w:rPr>
        <w:t>numa relação de complementaridade com as unidades manufatureiras de maiores dimensões, mantendo uma implantação significativa no final do século XVIII (Madureira 1997, 391; Pedreira 1990, 531). No Alentejo, a produção encontrava-se mais disseminada, e inserida, sobretudo, em contextos urbanos e periurbanos (Pedreira 1990, 533</w:t>
      </w:r>
      <w:r>
        <w:rPr>
          <w:rFonts w:ascii="Times New Roman" w:hAnsi="Times New Roman"/>
          <w:sz w:val="24"/>
          <w:szCs w:val="24"/>
        </w:rPr>
        <w:t>)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22"/>
      </w:r>
      <w:r w:rsidRPr="00B47801">
        <w:rPr>
          <w:rFonts w:ascii="Times New Roman" w:hAnsi="Times New Roman"/>
          <w:sz w:val="24"/>
          <w:szCs w:val="24"/>
        </w:rPr>
        <w:t xml:space="preserve">. No principal centro manufatureiro de lanifícios da região (Portalegre), o setor secundário </w:t>
      </w:r>
      <w:r w:rsidR="00A3407E">
        <w:rPr>
          <w:rFonts w:ascii="Times New Roman" w:hAnsi="Times New Roman"/>
          <w:sz w:val="24"/>
          <w:szCs w:val="24"/>
        </w:rPr>
        <w:t xml:space="preserve">ocupava </w:t>
      </w:r>
      <w:r w:rsidRPr="00B47801">
        <w:rPr>
          <w:rFonts w:ascii="Times New Roman" w:hAnsi="Times New Roman"/>
          <w:sz w:val="24"/>
          <w:szCs w:val="24"/>
        </w:rPr>
        <w:t>43%</w:t>
      </w:r>
      <w:r w:rsidR="00A3407E">
        <w:rPr>
          <w:rFonts w:ascii="Times New Roman" w:hAnsi="Times New Roman"/>
          <w:sz w:val="24"/>
          <w:szCs w:val="24"/>
        </w:rPr>
        <w:t xml:space="preserve"> da população</w:t>
      </w:r>
      <w:r w:rsidRPr="00B47801">
        <w:rPr>
          <w:rFonts w:ascii="Times New Roman" w:hAnsi="Times New Roman"/>
          <w:sz w:val="24"/>
          <w:szCs w:val="24"/>
        </w:rPr>
        <w:t xml:space="preserve"> no primeiro quartel do século XVIII (Faísca &amp; Lopes 2015, 351). Apesar dos esforços do Estado (encomendas de fardamentos), o setor foi particularmente afetado pela concorrência inglesa </w:t>
      </w:r>
      <w:r w:rsidR="00A3407E">
        <w:rPr>
          <w:rFonts w:ascii="Times New Roman" w:hAnsi="Times New Roman"/>
          <w:sz w:val="24"/>
          <w:szCs w:val="24"/>
        </w:rPr>
        <w:t>no</w:t>
      </w:r>
      <w:r w:rsidRPr="00B47801">
        <w:rPr>
          <w:rFonts w:ascii="Times New Roman" w:hAnsi="Times New Roman"/>
          <w:sz w:val="24"/>
          <w:szCs w:val="24"/>
        </w:rPr>
        <w:t xml:space="preserve"> primeiro quartel do século XVIII (Pedreira 2005, 195) e a sua participação nas exportações têxteis era reduzida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23"/>
      </w:r>
      <w:r w:rsidRPr="00B47801">
        <w:rPr>
          <w:rFonts w:ascii="Times New Roman" w:hAnsi="Times New Roman"/>
          <w:sz w:val="24"/>
          <w:szCs w:val="24"/>
        </w:rPr>
        <w:t>. Parte importante desta atividade industrial destinava-se, portanto, apenas a satisfazer as necessidades locais, sobretudo no interior do país, onde a deficiente rede de comunicações criava algum nível de proteção das manufaturas importadas devido à (Borges de Macedo 1982, 214).</w:t>
      </w:r>
    </w:p>
    <w:p w14:paraId="3175CADB" w14:textId="61F783D4" w:rsidR="00C63522" w:rsidRDefault="00C63522" w:rsidP="00C63522">
      <w:pPr>
        <w:tabs>
          <w:tab w:val="left" w:pos="4111"/>
          <w:tab w:val="left" w:pos="5103"/>
        </w:tabs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 sericultura era outra atividade com implantação regional significativa, embora </w:t>
      </w:r>
      <w:r>
        <w:rPr>
          <w:rFonts w:ascii="Times New Roman" w:hAnsi="Times New Roman"/>
          <w:sz w:val="24"/>
          <w:szCs w:val="24"/>
        </w:rPr>
        <w:t xml:space="preserve">com </w:t>
      </w:r>
      <w:r w:rsidRPr="00B47801">
        <w:rPr>
          <w:rFonts w:ascii="Times New Roman" w:hAnsi="Times New Roman"/>
          <w:sz w:val="24"/>
          <w:szCs w:val="24"/>
        </w:rPr>
        <w:t>padrões de produção</w:t>
      </w:r>
      <w:r>
        <w:rPr>
          <w:rFonts w:ascii="Times New Roman" w:hAnsi="Times New Roman"/>
          <w:sz w:val="24"/>
          <w:szCs w:val="24"/>
        </w:rPr>
        <w:t xml:space="preserve"> variáveis</w:t>
      </w:r>
      <w:r w:rsidRPr="00B47801">
        <w:rPr>
          <w:rFonts w:ascii="Times New Roman" w:hAnsi="Times New Roman"/>
          <w:sz w:val="24"/>
          <w:szCs w:val="24"/>
        </w:rPr>
        <w:t xml:space="preserve">. Esta indústria era tradicional na região de Trás-os-Montes, disseminada em polos especializados nas diferentes etapas do ciclo produtivo (Sousa 2006, 27-37). </w:t>
      </w:r>
      <w:r w:rsidR="009F524C">
        <w:rPr>
          <w:rFonts w:ascii="Times New Roman" w:hAnsi="Times New Roman"/>
          <w:sz w:val="24"/>
          <w:szCs w:val="24"/>
        </w:rPr>
        <w:t xml:space="preserve">Durante o século XVIII, esta indústria regional foi prejudicada pela criação da </w:t>
      </w:r>
      <w:r w:rsidR="009F524C" w:rsidRPr="00B47801">
        <w:rPr>
          <w:rFonts w:ascii="Times New Roman" w:hAnsi="Times New Roman"/>
          <w:sz w:val="24"/>
          <w:szCs w:val="24"/>
        </w:rPr>
        <w:t>Real Fábricas das Sedas de Lisboa</w:t>
      </w:r>
      <w:r w:rsidRPr="00B47801">
        <w:rPr>
          <w:rFonts w:ascii="Times New Roman" w:hAnsi="Times New Roman"/>
          <w:sz w:val="24"/>
          <w:szCs w:val="24"/>
        </w:rPr>
        <w:t xml:space="preserve">, mas recebeu um importante impulso modernizador no último </w:t>
      </w:r>
      <w:r w:rsidRPr="00B47801">
        <w:rPr>
          <w:rFonts w:ascii="Times New Roman" w:hAnsi="Times New Roman"/>
          <w:sz w:val="24"/>
          <w:szCs w:val="24"/>
        </w:rPr>
        <w:lastRenderedPageBreak/>
        <w:t xml:space="preserve">quartel dos Setecentos (Madureira 1997, 164-173), mantendo uma atividade relevante à entrada do século XIX. A produção centrada em Lisboa correspondia a outro padrão de estrutura de trabalho, marcadamente urbano e centralizado, ocupando uma parte significativa </w:t>
      </w:r>
      <w:r w:rsidR="009F524C">
        <w:rPr>
          <w:rFonts w:ascii="Times New Roman" w:hAnsi="Times New Roman"/>
          <w:sz w:val="24"/>
          <w:szCs w:val="24"/>
        </w:rPr>
        <w:t>d</w:t>
      </w:r>
      <w:r w:rsidRPr="00B47801">
        <w:rPr>
          <w:rFonts w:ascii="Times New Roman" w:hAnsi="Times New Roman"/>
          <w:sz w:val="24"/>
          <w:szCs w:val="24"/>
        </w:rPr>
        <w:t xml:space="preserve">o mercado de exportação (Pedreira 1987, 577). </w:t>
      </w:r>
    </w:p>
    <w:p w14:paraId="318DDC15" w14:textId="330F8E2A" w:rsidR="00A3407E" w:rsidRPr="00B47801" w:rsidRDefault="009F524C" w:rsidP="00A3407E">
      <w:pPr>
        <w:tabs>
          <w:tab w:val="left" w:pos="5103"/>
        </w:tabs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9F524C">
        <w:rPr>
          <w:rFonts w:ascii="Times New Roman" w:hAnsi="Times New Roman"/>
          <w:sz w:val="24"/>
          <w:szCs w:val="24"/>
        </w:rPr>
        <w:t xml:space="preserve">Como estimar o peso desta ‘indústria rural’ e aferir a sua evolução? </w:t>
      </w:r>
      <w:r w:rsidR="00A3407E" w:rsidRPr="00B47801">
        <w:rPr>
          <w:rFonts w:ascii="Times New Roman" w:hAnsi="Times New Roman"/>
          <w:sz w:val="24"/>
          <w:szCs w:val="24"/>
        </w:rPr>
        <w:t>No final do século XVIII, o interesse crescente por informação estatística relativa à população do Reino traduziu-se nos primeiros censos e estudos regionais</w:t>
      </w:r>
      <w:r w:rsidR="00A3407E" w:rsidRPr="00B47801">
        <w:rPr>
          <w:rStyle w:val="FootnoteReference"/>
          <w:rFonts w:ascii="Times New Roman" w:hAnsi="Times New Roman"/>
          <w:sz w:val="24"/>
          <w:szCs w:val="24"/>
        </w:rPr>
        <w:footnoteReference w:id="24"/>
      </w:r>
      <w:r w:rsidR="00A3407E" w:rsidRPr="00B47801">
        <w:rPr>
          <w:rFonts w:ascii="Times New Roman" w:hAnsi="Times New Roman"/>
          <w:sz w:val="24"/>
          <w:szCs w:val="24"/>
        </w:rPr>
        <w:t>. Contudo, na generalidade, estas iniciativas tinham o fogo como unidade básica de medida e</w:t>
      </w:r>
      <w:r w:rsidR="00A3407E">
        <w:rPr>
          <w:rFonts w:ascii="Times New Roman" w:hAnsi="Times New Roman"/>
          <w:sz w:val="24"/>
          <w:szCs w:val="24"/>
        </w:rPr>
        <w:t xml:space="preserve"> </w:t>
      </w:r>
      <w:r w:rsidR="00A3407E" w:rsidRPr="00B47801">
        <w:rPr>
          <w:rFonts w:ascii="Times New Roman" w:hAnsi="Times New Roman"/>
          <w:sz w:val="24"/>
          <w:szCs w:val="24"/>
        </w:rPr>
        <w:t>pretendiam responder</w:t>
      </w:r>
      <w:r w:rsidR="00A340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mais </w:t>
      </w:r>
      <w:r w:rsidR="00A3407E" w:rsidRPr="00B47801">
        <w:rPr>
          <w:rFonts w:ascii="Times New Roman" w:hAnsi="Times New Roman"/>
          <w:sz w:val="24"/>
          <w:szCs w:val="24"/>
        </w:rPr>
        <w:t xml:space="preserve">a preocupações de âmbito militar ou fiscal </w:t>
      </w:r>
      <w:r>
        <w:rPr>
          <w:rFonts w:ascii="Times New Roman" w:hAnsi="Times New Roman"/>
          <w:sz w:val="24"/>
          <w:szCs w:val="24"/>
        </w:rPr>
        <w:t xml:space="preserve">do que a caracterizar a atividade económica. Essa situação, </w:t>
      </w:r>
      <w:r w:rsidR="00A3407E" w:rsidRPr="00B47801">
        <w:rPr>
          <w:rFonts w:ascii="Times New Roman" w:hAnsi="Times New Roman"/>
          <w:sz w:val="24"/>
          <w:szCs w:val="24"/>
        </w:rPr>
        <w:t>aliás, não se alterou durante a primeira metade do século XIX</w:t>
      </w:r>
      <w:r w:rsidR="00A3407E" w:rsidRPr="00B47801">
        <w:rPr>
          <w:rStyle w:val="FootnoteReference"/>
          <w:rFonts w:ascii="Times New Roman" w:hAnsi="Times New Roman"/>
          <w:sz w:val="24"/>
          <w:szCs w:val="24"/>
        </w:rPr>
        <w:footnoteReference w:id="25"/>
      </w:r>
      <w:r w:rsidR="00A3407E" w:rsidRPr="00B47801">
        <w:rPr>
          <w:rFonts w:ascii="Times New Roman" w:hAnsi="Times New Roman"/>
          <w:sz w:val="24"/>
          <w:szCs w:val="24"/>
        </w:rPr>
        <w:t xml:space="preserve">. Em 1793, foi proposto efetuar um levantamento detalhado da população </w:t>
      </w:r>
      <w:r>
        <w:rPr>
          <w:rFonts w:ascii="Times New Roman" w:hAnsi="Times New Roman"/>
          <w:sz w:val="24"/>
          <w:szCs w:val="24"/>
        </w:rPr>
        <w:t xml:space="preserve">à escala </w:t>
      </w:r>
      <w:r w:rsidR="00A3407E" w:rsidRPr="00B47801">
        <w:rPr>
          <w:rFonts w:ascii="Times New Roman" w:hAnsi="Times New Roman"/>
          <w:sz w:val="24"/>
          <w:szCs w:val="24"/>
        </w:rPr>
        <w:t>da província, mas deste esforço</w:t>
      </w:r>
      <w:r w:rsidR="00A3407E">
        <w:rPr>
          <w:rFonts w:ascii="Times New Roman" w:hAnsi="Times New Roman"/>
          <w:sz w:val="24"/>
          <w:szCs w:val="24"/>
        </w:rPr>
        <w:t xml:space="preserve"> </w:t>
      </w:r>
      <w:r w:rsidR="00A3407E" w:rsidRPr="00B47801">
        <w:rPr>
          <w:rFonts w:ascii="Times New Roman" w:hAnsi="Times New Roman"/>
          <w:sz w:val="24"/>
          <w:szCs w:val="24"/>
        </w:rPr>
        <w:t>result</w:t>
      </w:r>
      <w:r w:rsidR="00A3407E">
        <w:rPr>
          <w:rFonts w:ascii="Times New Roman" w:hAnsi="Times New Roman"/>
          <w:sz w:val="24"/>
          <w:szCs w:val="24"/>
        </w:rPr>
        <w:t>ou</w:t>
      </w:r>
      <w:r w:rsidR="00A3407E" w:rsidRPr="00B47801">
        <w:rPr>
          <w:rFonts w:ascii="Times New Roman" w:hAnsi="Times New Roman"/>
          <w:sz w:val="24"/>
          <w:szCs w:val="24"/>
        </w:rPr>
        <w:t>, ultrapassando o nível da comarca, memórias relativas apenas ao Minho e a Trás-os-Montes</w:t>
      </w:r>
      <w:r w:rsidR="00A3407E" w:rsidRPr="00B47801">
        <w:rPr>
          <w:rStyle w:val="FootnoteReference"/>
          <w:rFonts w:ascii="Times New Roman" w:hAnsi="Times New Roman"/>
          <w:sz w:val="24"/>
          <w:szCs w:val="24"/>
        </w:rPr>
        <w:footnoteReference w:id="26"/>
      </w:r>
      <w:r w:rsidR="00A3407E" w:rsidRPr="00B47801">
        <w:rPr>
          <w:rFonts w:ascii="Times New Roman" w:hAnsi="Times New Roman"/>
          <w:sz w:val="24"/>
          <w:szCs w:val="24"/>
        </w:rPr>
        <w:t xml:space="preserve">. Nesta última província, o setor secundário ocupava 9% da população ativa (rural e urbana) em 1796, valor que não se alterou no censo de 1890 (Serrão </w:t>
      </w:r>
      <w:r w:rsidR="00A3407E" w:rsidRPr="00B47801">
        <w:rPr>
          <w:rFonts w:ascii="Times New Roman" w:hAnsi="Times New Roman"/>
          <w:i/>
          <w:iCs/>
          <w:sz w:val="24"/>
          <w:szCs w:val="24"/>
        </w:rPr>
        <w:t>et al</w:t>
      </w:r>
      <w:r w:rsidR="00A3407E" w:rsidRPr="00B47801">
        <w:rPr>
          <w:rFonts w:ascii="Times New Roman" w:hAnsi="Times New Roman"/>
          <w:sz w:val="24"/>
          <w:szCs w:val="24"/>
        </w:rPr>
        <w:t>. 1976, 754-57)</w:t>
      </w:r>
      <w:r w:rsidR="00A3407E" w:rsidRPr="00B47801">
        <w:rPr>
          <w:rStyle w:val="FootnoteReference"/>
          <w:rFonts w:ascii="Times New Roman" w:hAnsi="Times New Roman"/>
          <w:sz w:val="24"/>
          <w:szCs w:val="24"/>
        </w:rPr>
        <w:footnoteReference w:id="27"/>
      </w:r>
      <w:r w:rsidR="00A3407E">
        <w:rPr>
          <w:rFonts w:ascii="Times New Roman" w:hAnsi="Times New Roman"/>
          <w:sz w:val="24"/>
          <w:szCs w:val="24"/>
        </w:rPr>
        <w:t>.</w:t>
      </w:r>
      <w:r w:rsidR="00A3407E" w:rsidRPr="00B47801">
        <w:rPr>
          <w:rFonts w:ascii="Times New Roman" w:hAnsi="Times New Roman"/>
          <w:sz w:val="24"/>
          <w:szCs w:val="24"/>
        </w:rPr>
        <w:t xml:space="preserve"> </w:t>
      </w:r>
      <w:r w:rsidR="00A3407E">
        <w:rPr>
          <w:rFonts w:ascii="Times New Roman" w:hAnsi="Times New Roman"/>
          <w:sz w:val="24"/>
          <w:szCs w:val="24"/>
        </w:rPr>
        <w:t xml:space="preserve">Indica, portanto, uma implantação </w:t>
      </w:r>
      <w:r w:rsidR="00A3407E" w:rsidRPr="00B47801">
        <w:rPr>
          <w:rFonts w:ascii="Times New Roman" w:hAnsi="Times New Roman"/>
          <w:sz w:val="24"/>
          <w:szCs w:val="24"/>
        </w:rPr>
        <w:t xml:space="preserve">substancialmente inferior à </w:t>
      </w:r>
      <w:r w:rsidR="00A3407E">
        <w:rPr>
          <w:rFonts w:ascii="Times New Roman" w:hAnsi="Times New Roman"/>
          <w:sz w:val="24"/>
          <w:szCs w:val="24"/>
        </w:rPr>
        <w:t xml:space="preserve">verificada </w:t>
      </w:r>
      <w:r w:rsidR="00A3407E" w:rsidRPr="00B47801">
        <w:rPr>
          <w:rFonts w:ascii="Times New Roman" w:hAnsi="Times New Roman"/>
          <w:sz w:val="24"/>
          <w:szCs w:val="24"/>
        </w:rPr>
        <w:t>na Alemanha (23%) e Inglaterra (42%)</w:t>
      </w:r>
      <w:r w:rsidR="00A3407E" w:rsidRPr="00B47801">
        <w:rPr>
          <w:rStyle w:val="FootnoteReference"/>
          <w:rFonts w:ascii="Times New Roman" w:hAnsi="Times New Roman"/>
          <w:sz w:val="24"/>
          <w:szCs w:val="24"/>
        </w:rPr>
        <w:footnoteReference w:id="28"/>
      </w:r>
      <w:r w:rsidR="00A3407E" w:rsidRPr="00B47801">
        <w:rPr>
          <w:rFonts w:ascii="Times New Roman" w:hAnsi="Times New Roman"/>
          <w:sz w:val="24"/>
          <w:szCs w:val="24"/>
        </w:rPr>
        <w:t xml:space="preserve">. A estimativa </w:t>
      </w:r>
      <w:r w:rsidR="00B12563">
        <w:rPr>
          <w:rFonts w:ascii="Times New Roman" w:hAnsi="Times New Roman"/>
          <w:sz w:val="24"/>
          <w:szCs w:val="24"/>
        </w:rPr>
        <w:t xml:space="preserve">de </w:t>
      </w:r>
      <w:r w:rsidR="00A3407E" w:rsidRPr="00B47801">
        <w:rPr>
          <w:rFonts w:ascii="Times New Roman" w:hAnsi="Times New Roman"/>
          <w:sz w:val="24"/>
          <w:szCs w:val="24"/>
        </w:rPr>
        <w:t>Palma &amp; Reis (2019) é intermédia face a essas duas (29%)</w:t>
      </w:r>
      <w:r w:rsidR="00B12563">
        <w:rPr>
          <w:rFonts w:ascii="Times New Roman" w:hAnsi="Times New Roman"/>
          <w:sz w:val="24"/>
          <w:szCs w:val="24"/>
        </w:rPr>
        <w:t xml:space="preserve"> em c. 1800.</w:t>
      </w:r>
      <w:r w:rsidR="00A3407E" w:rsidRPr="00B47801">
        <w:rPr>
          <w:rFonts w:ascii="Times New Roman" w:hAnsi="Times New Roman"/>
          <w:sz w:val="24"/>
          <w:szCs w:val="24"/>
        </w:rPr>
        <w:t xml:space="preserve">  </w:t>
      </w:r>
    </w:p>
    <w:p w14:paraId="2A40F150" w14:textId="3110BC25" w:rsidR="00A3407E" w:rsidRPr="00B47801" w:rsidRDefault="00A3407E" w:rsidP="00A3407E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Refira-se que os dados propostos por Palma &amp; Reis (2019) relativamente à estrutura ocupacional da população </w:t>
      </w:r>
      <w:r w:rsidR="00B12563">
        <w:rPr>
          <w:rFonts w:ascii="Times New Roman" w:hAnsi="Times New Roman"/>
          <w:sz w:val="24"/>
          <w:szCs w:val="24"/>
        </w:rPr>
        <w:t xml:space="preserve">apenas </w:t>
      </w:r>
      <w:r>
        <w:rPr>
          <w:rFonts w:ascii="Times New Roman" w:hAnsi="Times New Roman"/>
          <w:sz w:val="24"/>
          <w:szCs w:val="24"/>
        </w:rPr>
        <w:t xml:space="preserve">recorrem </w:t>
      </w:r>
      <w:r w:rsidRPr="00B47801">
        <w:rPr>
          <w:rFonts w:ascii="Times New Roman" w:hAnsi="Times New Roman"/>
          <w:sz w:val="24"/>
          <w:szCs w:val="24"/>
        </w:rPr>
        <w:t xml:space="preserve">a fontes </w:t>
      </w:r>
      <w:r>
        <w:rPr>
          <w:rFonts w:ascii="Times New Roman" w:hAnsi="Times New Roman"/>
          <w:sz w:val="24"/>
          <w:szCs w:val="24"/>
        </w:rPr>
        <w:t xml:space="preserve">diretas </w:t>
      </w:r>
      <w:r w:rsidR="00B12563">
        <w:rPr>
          <w:rFonts w:ascii="Times New Roman" w:hAnsi="Times New Roman"/>
          <w:sz w:val="24"/>
          <w:szCs w:val="24"/>
        </w:rPr>
        <w:t>a partir do século XVIII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29"/>
      </w:r>
      <w:r w:rsidRPr="00B47801">
        <w:rPr>
          <w:rFonts w:ascii="Times New Roman" w:hAnsi="Times New Roman"/>
          <w:sz w:val="24"/>
          <w:szCs w:val="24"/>
        </w:rPr>
        <w:t xml:space="preserve">. A estimativa para 1700 </w:t>
      </w:r>
      <w:r>
        <w:rPr>
          <w:rFonts w:ascii="Times New Roman" w:hAnsi="Times New Roman"/>
          <w:sz w:val="24"/>
          <w:szCs w:val="24"/>
        </w:rPr>
        <w:t xml:space="preserve">é obtida a partir de </w:t>
      </w:r>
      <w:r w:rsidRPr="00B47801">
        <w:rPr>
          <w:rFonts w:ascii="Times New Roman" w:hAnsi="Times New Roman"/>
          <w:sz w:val="24"/>
          <w:szCs w:val="24"/>
        </w:rPr>
        <w:t>Reis (2017),</w:t>
      </w:r>
      <w:r>
        <w:rPr>
          <w:rFonts w:ascii="Times New Roman" w:hAnsi="Times New Roman"/>
          <w:sz w:val="24"/>
          <w:szCs w:val="24"/>
        </w:rPr>
        <w:t xml:space="preserve"> que se baseou nos </w:t>
      </w:r>
      <w:r w:rsidRPr="00B47801">
        <w:rPr>
          <w:rFonts w:ascii="Times New Roman" w:hAnsi="Times New Roman"/>
          <w:sz w:val="24"/>
          <w:szCs w:val="24"/>
        </w:rPr>
        <w:t xml:space="preserve">registos de </w:t>
      </w:r>
      <w:r w:rsidRPr="00B47801">
        <w:rPr>
          <w:rFonts w:ascii="Times New Roman" w:hAnsi="Times New Roman"/>
          <w:sz w:val="24"/>
          <w:szCs w:val="24"/>
        </w:rPr>
        <w:lastRenderedPageBreak/>
        <w:t>pagamento da décima de maneio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30"/>
      </w:r>
      <w:r w:rsidRPr="00B47801">
        <w:rPr>
          <w:rFonts w:ascii="Times New Roman" w:hAnsi="Times New Roman"/>
          <w:sz w:val="24"/>
          <w:szCs w:val="24"/>
        </w:rPr>
        <w:t xml:space="preserve">. Os dados de Reis (2017) são compatíveis com o crescimento significativo da </w:t>
      </w:r>
      <w:r w:rsidR="00B12563">
        <w:rPr>
          <w:rFonts w:ascii="Times New Roman" w:hAnsi="Times New Roman"/>
          <w:sz w:val="24"/>
          <w:szCs w:val="24"/>
        </w:rPr>
        <w:t xml:space="preserve">fração </w:t>
      </w:r>
      <w:r w:rsidRPr="00B47801">
        <w:rPr>
          <w:rFonts w:ascii="Times New Roman" w:hAnsi="Times New Roman"/>
          <w:sz w:val="24"/>
          <w:szCs w:val="24"/>
        </w:rPr>
        <w:t xml:space="preserve">não agrícola </w:t>
      </w:r>
      <w:r w:rsidR="00B12563">
        <w:rPr>
          <w:rFonts w:ascii="Times New Roman" w:hAnsi="Times New Roman"/>
          <w:sz w:val="24"/>
          <w:szCs w:val="24"/>
        </w:rPr>
        <w:t xml:space="preserve">da população </w:t>
      </w:r>
      <w:r w:rsidRPr="00B47801">
        <w:rPr>
          <w:rFonts w:ascii="Times New Roman" w:hAnsi="Times New Roman"/>
          <w:sz w:val="24"/>
          <w:szCs w:val="24"/>
        </w:rPr>
        <w:t>entre 1600-1750</w:t>
      </w:r>
      <w:r>
        <w:rPr>
          <w:rFonts w:ascii="Times New Roman" w:hAnsi="Times New Roman"/>
          <w:sz w:val="24"/>
          <w:szCs w:val="24"/>
        </w:rPr>
        <w:t>,</w:t>
      </w:r>
      <w:r w:rsidRPr="00B47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contudo, </w:t>
      </w:r>
      <w:r w:rsidR="00B12563">
        <w:rPr>
          <w:rFonts w:ascii="Times New Roman" w:hAnsi="Times New Roman"/>
          <w:sz w:val="24"/>
          <w:szCs w:val="24"/>
        </w:rPr>
        <w:t xml:space="preserve">também indica que o </w:t>
      </w:r>
      <w:r w:rsidRPr="00B47801">
        <w:rPr>
          <w:rFonts w:ascii="Times New Roman" w:hAnsi="Times New Roman"/>
          <w:sz w:val="24"/>
          <w:szCs w:val="24"/>
        </w:rPr>
        <w:t xml:space="preserve">seu declínio </w:t>
      </w:r>
      <w:r w:rsidR="00B12563">
        <w:rPr>
          <w:rFonts w:ascii="Times New Roman" w:hAnsi="Times New Roman"/>
          <w:sz w:val="24"/>
          <w:szCs w:val="24"/>
        </w:rPr>
        <w:t>se iniciou logo a partir de meio dos Setecentos</w:t>
      </w:r>
      <w:r w:rsidRPr="00B47801">
        <w:rPr>
          <w:rFonts w:ascii="Times New Roman" w:hAnsi="Times New Roman"/>
          <w:sz w:val="24"/>
          <w:szCs w:val="24"/>
        </w:rPr>
        <w:t xml:space="preserve">. Desse modo, a categoria Agrícola representaria aproximadamente 70% da população em 1800 (Reis 2017, 314) – que compara com 55% proposto por Palma &amp; Reis (2019). </w:t>
      </w:r>
    </w:p>
    <w:p w14:paraId="1876622E" w14:textId="578CACE4" w:rsidR="00A3407E" w:rsidRPr="00B47801" w:rsidRDefault="00A3407E" w:rsidP="00A3407E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>Os dados de distribuição ocupacional para 1750 são inferidos a partir de Sá (2005</w:t>
      </w:r>
      <w:r w:rsidR="00B12563">
        <w:rPr>
          <w:rFonts w:ascii="Times New Roman" w:hAnsi="Times New Roman"/>
          <w:sz w:val="24"/>
          <w:szCs w:val="24"/>
        </w:rPr>
        <w:t>, 98-107</w:t>
      </w:r>
      <w:r w:rsidRPr="00B47801">
        <w:rPr>
          <w:rFonts w:ascii="Times New Roman" w:hAnsi="Times New Roman"/>
          <w:sz w:val="24"/>
          <w:szCs w:val="24"/>
        </w:rPr>
        <w:t xml:space="preserve">), que apresenta estimativas do peso do setor industrial com base em fontes da décima e através da agregação de informações </w:t>
      </w:r>
      <w:r>
        <w:rPr>
          <w:rFonts w:ascii="Times New Roman" w:hAnsi="Times New Roman"/>
          <w:sz w:val="24"/>
          <w:szCs w:val="24"/>
        </w:rPr>
        <w:t>d</w:t>
      </w:r>
      <w:r w:rsidRPr="00B47801">
        <w:rPr>
          <w:rFonts w:ascii="Times New Roman" w:hAnsi="Times New Roman"/>
          <w:sz w:val="24"/>
          <w:szCs w:val="24"/>
        </w:rPr>
        <w:t>a literatura para diversas localidades. Os dados que disponibiliza não distinguem, contudo, as atividades industriais dos meios rurais e dos meios urbanos. Para este período, Pedreira (1994</w:t>
      </w:r>
      <w:r w:rsidR="00B12563">
        <w:rPr>
          <w:rFonts w:ascii="Times New Roman" w:hAnsi="Times New Roman"/>
          <w:sz w:val="24"/>
          <w:szCs w:val="24"/>
        </w:rPr>
        <w:t>, 403</w:t>
      </w:r>
      <w:r w:rsidRPr="00B47801">
        <w:rPr>
          <w:rFonts w:ascii="Times New Roman" w:hAnsi="Times New Roman"/>
          <w:sz w:val="24"/>
          <w:szCs w:val="24"/>
        </w:rPr>
        <w:t>) defende</w:t>
      </w:r>
      <w:r w:rsidR="008C5318">
        <w:rPr>
          <w:rFonts w:ascii="Times New Roman" w:hAnsi="Times New Roman"/>
          <w:sz w:val="24"/>
          <w:szCs w:val="24"/>
        </w:rPr>
        <w:t xml:space="preserve"> que, com exceção de Lisboa, </w:t>
      </w:r>
      <w:r w:rsidRPr="00B47801">
        <w:rPr>
          <w:rFonts w:ascii="Times New Roman" w:hAnsi="Times New Roman"/>
          <w:sz w:val="24"/>
          <w:szCs w:val="24"/>
        </w:rPr>
        <w:t xml:space="preserve">a mão-de-obra industrial permaneceu pouco expressiva face ao trabalho agrícola. Nas localidades associadas aos meios rurais (pelo critério </w:t>
      </w:r>
      <w:r>
        <w:rPr>
          <w:rFonts w:ascii="Times New Roman" w:hAnsi="Times New Roman"/>
          <w:sz w:val="24"/>
          <w:szCs w:val="24"/>
        </w:rPr>
        <w:t xml:space="preserve">&lt; </w:t>
      </w:r>
      <w:r w:rsidRPr="00B47801">
        <w:rPr>
          <w:rFonts w:ascii="Times New Roman" w:hAnsi="Times New Roman"/>
          <w:sz w:val="24"/>
          <w:szCs w:val="24"/>
        </w:rPr>
        <w:t xml:space="preserve">5,0 mil habitantes), os artífices podiam representar até 25% da população ativa (Pedreira 2005, 182). Contudo, estes meios </w:t>
      </w:r>
      <w:r>
        <w:rPr>
          <w:rFonts w:ascii="Times New Roman" w:hAnsi="Times New Roman"/>
          <w:sz w:val="24"/>
          <w:szCs w:val="24"/>
        </w:rPr>
        <w:t xml:space="preserve">rurais urbanizados </w:t>
      </w:r>
      <w:r w:rsidRPr="00B47801">
        <w:rPr>
          <w:rFonts w:ascii="Times New Roman" w:hAnsi="Times New Roman"/>
          <w:sz w:val="24"/>
          <w:szCs w:val="24"/>
        </w:rPr>
        <w:t xml:space="preserve">representariam, em 1770, apenas 2% da população total (Reis 2017, 307). </w:t>
      </w:r>
    </w:p>
    <w:p w14:paraId="10A14991" w14:textId="0B5A3585" w:rsidR="00A3407E" w:rsidRDefault="00A3407E" w:rsidP="00A3407E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>As estimativas para 1800 e 1850 são efetuadas a partir de Reis (2005)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1"/>
      </w:r>
      <w:r>
        <w:rPr>
          <w:rFonts w:ascii="Times New Roman" w:hAnsi="Times New Roman"/>
          <w:sz w:val="24"/>
          <w:szCs w:val="24"/>
        </w:rPr>
        <w:t>.</w:t>
      </w:r>
      <w:r w:rsidRPr="00B47801">
        <w:rPr>
          <w:rFonts w:ascii="Times New Roman" w:hAnsi="Times New Roman"/>
          <w:sz w:val="24"/>
          <w:szCs w:val="24"/>
        </w:rPr>
        <w:t xml:space="preserve"> Em termos estritos, </w:t>
      </w:r>
      <w:r>
        <w:rPr>
          <w:rFonts w:ascii="Times New Roman" w:hAnsi="Times New Roman"/>
          <w:sz w:val="24"/>
          <w:szCs w:val="24"/>
        </w:rPr>
        <w:t xml:space="preserve">esses </w:t>
      </w:r>
      <w:r w:rsidRPr="00B47801">
        <w:rPr>
          <w:rFonts w:ascii="Times New Roman" w:hAnsi="Times New Roman"/>
          <w:sz w:val="24"/>
          <w:szCs w:val="24"/>
        </w:rPr>
        <w:t>dados indicam que a recomposição ocupacional no primeiro terço dos Oitocentos se caracterizou pelo aumento da mão-de-obra ligada ao setor agrícola em detrimento do setor de serviços, mantendo-se estável a mão associada ao setor industrial (Reis 2005, 123)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32"/>
      </w:r>
      <w:r w:rsidRPr="00B47801">
        <w:rPr>
          <w:rFonts w:ascii="Times New Roman" w:hAnsi="Times New Roman"/>
          <w:sz w:val="24"/>
          <w:szCs w:val="24"/>
        </w:rPr>
        <w:t xml:space="preserve">. Ou seja, </w:t>
      </w:r>
      <w:r>
        <w:rPr>
          <w:rFonts w:ascii="Times New Roman" w:hAnsi="Times New Roman"/>
          <w:sz w:val="24"/>
          <w:szCs w:val="24"/>
        </w:rPr>
        <w:t xml:space="preserve">o recuo </w:t>
      </w:r>
      <w:r w:rsidRPr="00B47801">
        <w:rPr>
          <w:rFonts w:ascii="Times New Roman" w:hAnsi="Times New Roman"/>
          <w:sz w:val="24"/>
          <w:szCs w:val="24"/>
        </w:rPr>
        <w:t xml:space="preserve">da categoria RNAG </w:t>
      </w:r>
      <w:r>
        <w:rPr>
          <w:rFonts w:ascii="Times New Roman" w:hAnsi="Times New Roman"/>
          <w:sz w:val="24"/>
          <w:szCs w:val="24"/>
        </w:rPr>
        <w:t xml:space="preserve">no século XIX </w:t>
      </w:r>
      <w:r w:rsidRPr="00B47801">
        <w:rPr>
          <w:rFonts w:ascii="Times New Roman" w:hAnsi="Times New Roman"/>
          <w:sz w:val="24"/>
          <w:szCs w:val="24"/>
        </w:rPr>
        <w:t xml:space="preserve">proposta por Palma &amp; Reis (2019) </w:t>
      </w:r>
      <w:r>
        <w:rPr>
          <w:rFonts w:ascii="Times New Roman" w:hAnsi="Times New Roman"/>
          <w:sz w:val="24"/>
          <w:szCs w:val="24"/>
        </w:rPr>
        <w:t xml:space="preserve">parece pressupor </w:t>
      </w:r>
      <w:r w:rsidRPr="00B47801">
        <w:rPr>
          <w:rFonts w:ascii="Times New Roman" w:hAnsi="Times New Roman"/>
          <w:sz w:val="24"/>
          <w:szCs w:val="24"/>
        </w:rPr>
        <w:t>que principal atividade económica ligada a essa categoria eram os serviços</w:t>
      </w:r>
      <w:r>
        <w:rPr>
          <w:rFonts w:ascii="Times New Roman" w:hAnsi="Times New Roman"/>
          <w:sz w:val="24"/>
          <w:szCs w:val="24"/>
        </w:rPr>
        <w:t>,</w:t>
      </w:r>
      <w:r w:rsidRPr="00B47801">
        <w:rPr>
          <w:rFonts w:ascii="Times New Roman" w:hAnsi="Times New Roman"/>
          <w:sz w:val="24"/>
          <w:szCs w:val="24"/>
        </w:rPr>
        <w:t xml:space="preserve"> e não à indústria. </w:t>
      </w:r>
    </w:p>
    <w:p w14:paraId="2E137273" w14:textId="72CA9F12" w:rsidR="00A3407E" w:rsidRPr="00B47801" w:rsidRDefault="00A3407E" w:rsidP="00A3407E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Importa também discutir o impacto </w:t>
      </w:r>
      <w:r>
        <w:rPr>
          <w:rFonts w:ascii="Times New Roman" w:hAnsi="Times New Roman"/>
          <w:sz w:val="24"/>
          <w:szCs w:val="24"/>
        </w:rPr>
        <w:t xml:space="preserve">na categoria RNAG de alguns pressupostos </w:t>
      </w:r>
      <w:r w:rsidR="00B12563">
        <w:rPr>
          <w:rFonts w:ascii="Times New Roman" w:hAnsi="Times New Roman"/>
          <w:sz w:val="24"/>
          <w:szCs w:val="24"/>
        </w:rPr>
        <w:t xml:space="preserve">adotados </w:t>
      </w:r>
      <w:r>
        <w:rPr>
          <w:rFonts w:ascii="Times New Roman" w:hAnsi="Times New Roman"/>
          <w:sz w:val="24"/>
          <w:szCs w:val="24"/>
        </w:rPr>
        <w:t xml:space="preserve">na metodologia </w:t>
      </w:r>
      <w:r w:rsidR="00B12563">
        <w:rPr>
          <w:rFonts w:ascii="Times New Roman" w:hAnsi="Times New Roman"/>
          <w:sz w:val="24"/>
          <w:szCs w:val="24"/>
        </w:rPr>
        <w:t xml:space="preserve">utilizada </w:t>
      </w:r>
      <w:r>
        <w:rPr>
          <w:rFonts w:ascii="Times New Roman" w:hAnsi="Times New Roman"/>
          <w:sz w:val="24"/>
          <w:szCs w:val="24"/>
        </w:rPr>
        <w:t xml:space="preserve">para a determinação do ISR. Destacam-se dois: </w:t>
      </w:r>
      <w:r w:rsidR="00B12563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primeir</w:t>
      </w:r>
      <w:r w:rsidR="00B1256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é </w:t>
      </w:r>
      <w:r w:rsidRPr="00B47801">
        <w:rPr>
          <w:rFonts w:ascii="Times New Roman" w:hAnsi="Times New Roman"/>
          <w:sz w:val="24"/>
          <w:szCs w:val="24"/>
        </w:rPr>
        <w:t xml:space="preserve">a não </w:t>
      </w:r>
      <w:r w:rsidRPr="00B47801">
        <w:rPr>
          <w:rFonts w:ascii="Times New Roman" w:hAnsi="Times New Roman"/>
          <w:sz w:val="24"/>
          <w:szCs w:val="24"/>
        </w:rPr>
        <w:lastRenderedPageBreak/>
        <w:t xml:space="preserve">consideração do trabalho feminino no rendimento do agregado familiar (Humphries </w:t>
      </w:r>
      <w:r w:rsidRPr="00B47801">
        <w:rPr>
          <w:rFonts w:ascii="Times New Roman" w:hAnsi="Times New Roman"/>
          <w:i/>
          <w:iCs/>
          <w:sz w:val="24"/>
          <w:szCs w:val="24"/>
        </w:rPr>
        <w:t>et al.</w:t>
      </w:r>
      <w:r w:rsidRPr="00B47801">
        <w:rPr>
          <w:rFonts w:ascii="Times New Roman" w:hAnsi="Times New Roman"/>
          <w:sz w:val="24"/>
          <w:szCs w:val="24"/>
        </w:rPr>
        <w:t xml:space="preserve"> 2022)</w:t>
      </w:r>
      <w:r>
        <w:rPr>
          <w:rFonts w:ascii="Times New Roman" w:hAnsi="Times New Roman"/>
          <w:sz w:val="24"/>
          <w:szCs w:val="24"/>
        </w:rPr>
        <w:t xml:space="preserve"> e </w:t>
      </w:r>
      <w:r w:rsidR="00B1256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segund</w:t>
      </w:r>
      <w:r w:rsidR="00B1256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801">
        <w:rPr>
          <w:rFonts w:ascii="Times New Roman" w:hAnsi="Times New Roman"/>
          <w:sz w:val="24"/>
          <w:szCs w:val="24"/>
        </w:rPr>
        <w:t xml:space="preserve">refere-se à estimativa da variação do input de trabalho (Humphries &amp; Weisdorf 2018). </w:t>
      </w:r>
    </w:p>
    <w:p w14:paraId="3B1A75CD" w14:textId="16BC7A3D" w:rsidR="00A3407E" w:rsidRPr="00B47801" w:rsidRDefault="00A3407E" w:rsidP="00A3407E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 não consideração do trabalho feminino para o rendimento do agregado familiar tende a </w:t>
      </w:r>
      <w:r w:rsidR="00DD17E5">
        <w:rPr>
          <w:rFonts w:ascii="Times New Roman" w:hAnsi="Times New Roman"/>
          <w:sz w:val="24"/>
          <w:szCs w:val="24"/>
        </w:rPr>
        <w:t>minorar</w:t>
      </w:r>
      <w:r w:rsidRPr="00B47801">
        <w:rPr>
          <w:rFonts w:ascii="Times New Roman" w:hAnsi="Times New Roman"/>
          <w:sz w:val="24"/>
          <w:szCs w:val="24"/>
        </w:rPr>
        <w:t xml:space="preserve"> a relevância do setor RNAG na economia. De facto, existem evidências de uma crescente participação laboral feminina ao longo desta cronologia e com grande amplitude regional (Carvalhal &amp; Silva 2020; Sá 2005, p. 108-9)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33"/>
      </w:r>
      <w:r w:rsidRPr="00B47801">
        <w:rPr>
          <w:rFonts w:ascii="Times New Roman" w:hAnsi="Times New Roman"/>
          <w:sz w:val="24"/>
          <w:szCs w:val="24"/>
        </w:rPr>
        <w:t>. Nos meios rurais, parte importante do trabalho feminino remunerado estava associado à indústria têxtil, sobretudo a fiação e tecelagem, com maior incidência nos períodos de menor atividade agrícola (Pedreira 2005, 180). No século XVIII, a produção de panos de linho no Minho, por exemplo, seria uma atividade predominantemente feminina (Pedreira, 2005, 183). No mesmo sentido, Reis (2005</w:t>
      </w:r>
      <w:r w:rsidR="00B12563">
        <w:rPr>
          <w:rFonts w:ascii="Times New Roman" w:hAnsi="Times New Roman"/>
          <w:sz w:val="24"/>
          <w:szCs w:val="24"/>
        </w:rPr>
        <w:t>, 125</w:t>
      </w:r>
      <w:r w:rsidRPr="00B47801">
        <w:rPr>
          <w:rFonts w:ascii="Times New Roman" w:hAnsi="Times New Roman"/>
          <w:sz w:val="24"/>
          <w:szCs w:val="24"/>
        </w:rPr>
        <w:t>) sugere que ao longo do século XVIII, a mão-de-obra “tinha-se tornado mais jovem e mais feminizada”, o que se acentuou no século XIX, devido à escassez de mão-de-obra masculina por efeito da emigração. A mesma tendência verificou-se na ocupação referente ao 'trabalho doméstico' nos meios periurbanos. A meio do século XVIII, essa ocupação referia</w:t>
      </w:r>
      <w:r w:rsidR="00DD17E5">
        <w:rPr>
          <w:rFonts w:ascii="Times New Roman" w:hAnsi="Times New Roman"/>
          <w:sz w:val="24"/>
          <w:szCs w:val="24"/>
        </w:rPr>
        <w:t>)</w:t>
      </w:r>
      <w:r w:rsidRPr="00B47801">
        <w:rPr>
          <w:rFonts w:ascii="Times New Roman" w:hAnsi="Times New Roman"/>
          <w:sz w:val="24"/>
          <w:szCs w:val="24"/>
        </w:rPr>
        <w:t>-se, maioritariamente, a trabalho masculino ligado à agricultura e à indústria, podendo representar 12% da força de trabalho (Ferreira da Silva 1987,</w:t>
      </w:r>
      <w:r w:rsidR="00B12563">
        <w:rPr>
          <w:rFonts w:ascii="Times New Roman" w:hAnsi="Times New Roman"/>
          <w:sz w:val="24"/>
          <w:szCs w:val="24"/>
        </w:rPr>
        <w:t xml:space="preserve"> </w:t>
      </w:r>
      <w:r w:rsidRPr="00B47801">
        <w:rPr>
          <w:rFonts w:ascii="Times New Roman" w:hAnsi="Times New Roman"/>
          <w:sz w:val="24"/>
          <w:szCs w:val="24"/>
        </w:rPr>
        <w:t>544)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34"/>
      </w:r>
      <w:r w:rsidRPr="00B47801">
        <w:rPr>
          <w:rFonts w:ascii="Times New Roman" w:hAnsi="Times New Roman"/>
          <w:sz w:val="24"/>
          <w:szCs w:val="24"/>
        </w:rPr>
        <w:t>. Contudo, no início do século XIX, o trabalho masculino doméstico havia já declinado de forma significativa – substituído por trabalho jornaleiro – enquanto ocorria um crescimento expressivo do trabalho doméstico feminino, “de molde que, décadas mais tarde, o trabalho doméstico seja sinónimo de criada” (Ferreira da Silva, 1987, 555)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35"/>
      </w:r>
      <w:r w:rsidRPr="00B47801">
        <w:rPr>
          <w:rFonts w:ascii="Times New Roman" w:hAnsi="Times New Roman"/>
          <w:sz w:val="24"/>
          <w:szCs w:val="24"/>
        </w:rPr>
        <w:t xml:space="preserve">. </w:t>
      </w:r>
      <w:r w:rsidR="00DD17E5">
        <w:rPr>
          <w:rFonts w:ascii="Times New Roman" w:hAnsi="Times New Roman"/>
          <w:sz w:val="24"/>
          <w:szCs w:val="24"/>
        </w:rPr>
        <w:t xml:space="preserve">Ou seja, é provável que a consideração da </w:t>
      </w:r>
      <w:r w:rsidR="00DD17E5">
        <w:rPr>
          <w:rFonts w:ascii="Times New Roman" w:hAnsi="Times New Roman"/>
          <w:sz w:val="24"/>
          <w:szCs w:val="24"/>
        </w:rPr>
        <w:lastRenderedPageBreak/>
        <w:t>participação feminina no mercado laboral majorasse o peso da categoria RNAG na estrutura populacional.</w:t>
      </w:r>
    </w:p>
    <w:p w14:paraId="01261304" w14:textId="3A75B69D" w:rsidR="00A3407E" w:rsidRDefault="00A3407E" w:rsidP="00A3407E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Ao contrário da anterior, a metodologia empregue na estimativa da variação do input de trabalho tende a </w:t>
      </w:r>
      <w:r w:rsidR="00DD17E5">
        <w:rPr>
          <w:rFonts w:ascii="Times New Roman" w:hAnsi="Times New Roman"/>
          <w:sz w:val="24"/>
          <w:szCs w:val="24"/>
        </w:rPr>
        <w:t xml:space="preserve">majorar </w:t>
      </w:r>
      <w:r w:rsidRPr="00B47801">
        <w:rPr>
          <w:rFonts w:ascii="Times New Roman" w:hAnsi="Times New Roman"/>
          <w:sz w:val="24"/>
          <w:szCs w:val="24"/>
        </w:rPr>
        <w:t xml:space="preserve">a relevância da categoria RNAG. Recorde-se que Palma &amp; Reis </w:t>
      </w:r>
      <w:r w:rsidR="00DD17E5">
        <w:rPr>
          <w:rFonts w:ascii="Times New Roman" w:hAnsi="Times New Roman"/>
          <w:sz w:val="24"/>
          <w:szCs w:val="24"/>
        </w:rPr>
        <w:t xml:space="preserve">(2019) </w:t>
      </w:r>
      <w:r w:rsidRPr="00B47801">
        <w:rPr>
          <w:rFonts w:ascii="Times New Roman" w:hAnsi="Times New Roman"/>
          <w:sz w:val="24"/>
          <w:szCs w:val="24"/>
        </w:rPr>
        <w:t xml:space="preserve">assumiram um input de trabalho intermédio (entre o qualificado e não qualificado), e com um perfil crescente ao longo da cronologia – cujo impacto foi expressivo na </w:t>
      </w:r>
      <w:r w:rsidRPr="00DD17E5">
        <w:rPr>
          <w:rFonts w:ascii="Times New Roman" w:hAnsi="Times New Roman"/>
          <w:sz w:val="24"/>
          <w:szCs w:val="24"/>
        </w:rPr>
        <w:t>intensidade da evolução do ISR (cf. Tabela 3).</w:t>
      </w:r>
      <w:r w:rsidRPr="00B47801">
        <w:rPr>
          <w:rFonts w:ascii="Times New Roman" w:hAnsi="Times New Roman"/>
          <w:sz w:val="24"/>
          <w:szCs w:val="24"/>
        </w:rPr>
        <w:t xml:space="preserve"> Parte da estrutura de trabalho desta categoria referia-se a atividades artesanais tradicionais em pequenas localidades, pelo que será legítimo assumir um input de trabalho menos sazonal que o </w:t>
      </w:r>
      <w:r w:rsidR="00DD17E5">
        <w:rPr>
          <w:rFonts w:ascii="Times New Roman" w:hAnsi="Times New Roman"/>
          <w:sz w:val="24"/>
          <w:szCs w:val="24"/>
        </w:rPr>
        <w:t>A</w:t>
      </w:r>
      <w:r w:rsidRPr="00B47801">
        <w:rPr>
          <w:rFonts w:ascii="Times New Roman" w:hAnsi="Times New Roman"/>
          <w:sz w:val="24"/>
          <w:szCs w:val="24"/>
        </w:rPr>
        <w:t xml:space="preserve">grícola, logo intermédio face ao </w:t>
      </w:r>
      <w:r w:rsidR="00DD17E5">
        <w:rPr>
          <w:rFonts w:ascii="Times New Roman" w:hAnsi="Times New Roman"/>
          <w:sz w:val="24"/>
          <w:szCs w:val="24"/>
        </w:rPr>
        <w:t>U</w:t>
      </w:r>
      <w:r w:rsidRPr="00B47801">
        <w:rPr>
          <w:rFonts w:ascii="Times New Roman" w:hAnsi="Times New Roman"/>
          <w:sz w:val="24"/>
          <w:szCs w:val="24"/>
        </w:rPr>
        <w:t xml:space="preserve">rbano. Outra parte dessa mão-de-obra, em particular a ligada à indústria têxtil, apresentava, pelo contrário, uma forte componente sazonal (Pedreira, 2005, 180). A indústria doméstica de fiação de seda em Trás-os-Montes, por exemplo, </w:t>
      </w:r>
      <w:r w:rsidR="00DD17E5">
        <w:rPr>
          <w:rFonts w:ascii="Times New Roman" w:hAnsi="Times New Roman"/>
          <w:sz w:val="24"/>
          <w:szCs w:val="24"/>
        </w:rPr>
        <w:t xml:space="preserve">ocorria </w:t>
      </w:r>
      <w:r w:rsidRPr="00B47801">
        <w:rPr>
          <w:rFonts w:ascii="Times New Roman" w:hAnsi="Times New Roman"/>
          <w:sz w:val="24"/>
          <w:szCs w:val="24"/>
        </w:rPr>
        <w:t xml:space="preserve">apenas durante o Verão (Madureira, 1997, 170). Para este subconjunto da categoria RNAG, o input de trabalho considerado pode estar sobredimensionado. </w:t>
      </w:r>
    </w:p>
    <w:p w14:paraId="39EE0BF6" w14:textId="00EDF9D1" w:rsidR="008C5318" w:rsidRPr="00B47801" w:rsidRDefault="00DD17E5" w:rsidP="008C5318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generalidade, </w:t>
      </w:r>
      <w:r w:rsidR="008C5318">
        <w:rPr>
          <w:rFonts w:ascii="Times New Roman" w:hAnsi="Times New Roman"/>
          <w:sz w:val="24"/>
          <w:szCs w:val="24"/>
        </w:rPr>
        <w:t xml:space="preserve">nem </w:t>
      </w:r>
      <w:r>
        <w:rPr>
          <w:rFonts w:ascii="Times New Roman" w:hAnsi="Times New Roman"/>
          <w:sz w:val="24"/>
          <w:szCs w:val="24"/>
        </w:rPr>
        <w:t>as fontes apesentadas em Palma &amp; Reis (2019)</w:t>
      </w:r>
      <w:r w:rsidR="008C5318">
        <w:rPr>
          <w:rFonts w:ascii="Times New Roman" w:hAnsi="Times New Roman"/>
          <w:sz w:val="24"/>
          <w:szCs w:val="24"/>
        </w:rPr>
        <w:t>, nem os restantes elementos disponíveis, fornecem uma informação taxativa relativamente à evolução da categoria RNAG (peso e atividade económica). Os pressupostos seguidos na metodologia também não apresentam um enviesamento de sentido único em termos da quantificação dessa categoria.</w:t>
      </w:r>
      <w:r>
        <w:rPr>
          <w:rFonts w:ascii="Times New Roman" w:hAnsi="Times New Roman"/>
          <w:sz w:val="24"/>
          <w:szCs w:val="24"/>
        </w:rPr>
        <w:t xml:space="preserve"> </w:t>
      </w:r>
      <w:r w:rsidR="008C5318" w:rsidRPr="00B47801">
        <w:rPr>
          <w:rFonts w:ascii="Times New Roman" w:hAnsi="Times New Roman"/>
          <w:sz w:val="24"/>
          <w:szCs w:val="24"/>
        </w:rPr>
        <w:t xml:space="preserve">Sem um apuramento mais detalhado dos dados relativamente </w:t>
      </w:r>
      <w:r w:rsidR="008C5318">
        <w:rPr>
          <w:rFonts w:ascii="Times New Roman" w:hAnsi="Times New Roman"/>
          <w:sz w:val="24"/>
          <w:szCs w:val="24"/>
        </w:rPr>
        <w:t>à</w:t>
      </w:r>
      <w:r w:rsidR="008C5318" w:rsidRPr="00B47801">
        <w:rPr>
          <w:rFonts w:ascii="Times New Roman" w:hAnsi="Times New Roman"/>
          <w:sz w:val="24"/>
          <w:szCs w:val="24"/>
        </w:rPr>
        <w:t xml:space="preserve"> categoria </w:t>
      </w:r>
      <w:r w:rsidR="008C5318">
        <w:rPr>
          <w:rFonts w:ascii="Times New Roman" w:hAnsi="Times New Roman"/>
          <w:sz w:val="24"/>
          <w:szCs w:val="24"/>
        </w:rPr>
        <w:t xml:space="preserve">RNAG </w:t>
      </w:r>
      <w:r w:rsidR="008C5318" w:rsidRPr="00B47801">
        <w:rPr>
          <w:rFonts w:ascii="Times New Roman" w:hAnsi="Times New Roman"/>
          <w:sz w:val="24"/>
          <w:szCs w:val="24"/>
        </w:rPr>
        <w:t xml:space="preserve">(fração da população, salários, participação feminina, variação do input de trabalho), não parece possível testar a aderência do contributo da categoria RNAG na formação do rendimento e na composição setorial do PIB. Sobretudo na parte inicial desta cronologia, os dados não permitem esclarecer a contribuição fulcral da atividade económica não agrícola nos meios rurais para o crescimento pré-industrial entre 1600-1750. Ao invés, é possível </w:t>
      </w:r>
      <w:r w:rsidR="008C5318" w:rsidRPr="00B47801">
        <w:rPr>
          <w:rFonts w:ascii="Times New Roman" w:hAnsi="Times New Roman"/>
          <w:sz w:val="24"/>
          <w:szCs w:val="24"/>
        </w:rPr>
        <w:lastRenderedPageBreak/>
        <w:t xml:space="preserve">aprofundar a discussão relativamente ao declínio significativo da categoria RNAG no primeiro terço do século XIX, pelo menos na sua componente industrial. </w:t>
      </w:r>
    </w:p>
    <w:p w14:paraId="76C2682B" w14:textId="7C4DBEAB" w:rsidR="00DD17E5" w:rsidRDefault="00DD17E5" w:rsidP="008C5318">
      <w:pPr>
        <w:ind w:firstLine="142"/>
        <w:rPr>
          <w:rFonts w:ascii="Times New Roman" w:hAnsi="Times New Roman"/>
          <w:sz w:val="24"/>
          <w:szCs w:val="24"/>
        </w:rPr>
      </w:pPr>
    </w:p>
    <w:p w14:paraId="1F4ABC31" w14:textId="0A2C5103" w:rsidR="007D5DB0" w:rsidRPr="001D7099" w:rsidRDefault="007D5DB0" w:rsidP="00730434">
      <w:pPr>
        <w:pStyle w:val="Heading1"/>
        <w:numPr>
          <w:ilvl w:val="1"/>
          <w:numId w:val="36"/>
        </w:numPr>
      </w:pPr>
      <w:r>
        <w:t>A Categoria RNAG e o Mercado Colonial</w:t>
      </w:r>
    </w:p>
    <w:p w14:paraId="419F1D8F" w14:textId="18252BB7" w:rsidR="009E73F4" w:rsidRPr="00B47801" w:rsidRDefault="00A7156A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Assumindo </w:t>
      </w:r>
      <w:r w:rsidR="004D2790" w:rsidRPr="00B47801">
        <w:rPr>
          <w:rFonts w:ascii="Times New Roman" w:hAnsi="Times New Roman"/>
          <w:sz w:val="24"/>
          <w:szCs w:val="24"/>
        </w:rPr>
        <w:t xml:space="preserve">que uma parcela significativa da atividade rural desligada da agricultura, se dirigia à produção industrial doméstica ou em oficinas, sobretudo </w:t>
      </w:r>
      <w:r w:rsidR="00E73B76" w:rsidRPr="00B47801">
        <w:rPr>
          <w:rFonts w:ascii="Times New Roman" w:hAnsi="Times New Roman"/>
          <w:sz w:val="24"/>
          <w:szCs w:val="24"/>
        </w:rPr>
        <w:t xml:space="preserve">nos </w:t>
      </w:r>
      <w:r w:rsidR="004D2790" w:rsidRPr="00B47801">
        <w:rPr>
          <w:rFonts w:ascii="Times New Roman" w:hAnsi="Times New Roman"/>
          <w:sz w:val="24"/>
          <w:szCs w:val="24"/>
        </w:rPr>
        <w:t>têxteis</w:t>
      </w:r>
      <w:r w:rsidR="00AC5E9A" w:rsidRPr="00B47801">
        <w:rPr>
          <w:rStyle w:val="FootnoteReference"/>
          <w:rFonts w:ascii="Times New Roman" w:hAnsi="Times New Roman"/>
          <w:sz w:val="24"/>
          <w:szCs w:val="24"/>
        </w:rPr>
        <w:footnoteReference w:id="36"/>
      </w:r>
      <w:r w:rsidR="004D2790" w:rsidRPr="00B47801">
        <w:rPr>
          <w:rFonts w:ascii="Times New Roman" w:hAnsi="Times New Roman"/>
          <w:sz w:val="24"/>
          <w:szCs w:val="24"/>
        </w:rPr>
        <w:t xml:space="preserve">, então </w:t>
      </w:r>
      <w:r w:rsidR="00AC5E9A" w:rsidRPr="00B47801">
        <w:rPr>
          <w:rFonts w:ascii="Times New Roman" w:hAnsi="Times New Roman"/>
          <w:sz w:val="24"/>
          <w:szCs w:val="24"/>
        </w:rPr>
        <w:t>existe</w:t>
      </w:r>
      <w:r w:rsidR="00E73B76" w:rsidRPr="00B47801">
        <w:rPr>
          <w:rFonts w:ascii="Times New Roman" w:hAnsi="Times New Roman"/>
          <w:sz w:val="24"/>
          <w:szCs w:val="24"/>
        </w:rPr>
        <w:t xml:space="preserve"> </w:t>
      </w:r>
      <w:r w:rsidRPr="00B47801">
        <w:rPr>
          <w:rFonts w:ascii="Times New Roman" w:hAnsi="Times New Roman"/>
          <w:sz w:val="24"/>
          <w:szCs w:val="24"/>
        </w:rPr>
        <w:t xml:space="preserve">um argumento importante </w:t>
      </w:r>
      <w:r w:rsidR="00417878" w:rsidRPr="00B47801">
        <w:rPr>
          <w:rFonts w:ascii="Times New Roman" w:hAnsi="Times New Roman"/>
          <w:sz w:val="24"/>
          <w:szCs w:val="24"/>
        </w:rPr>
        <w:t xml:space="preserve">para </w:t>
      </w:r>
      <w:r w:rsidRPr="00B47801">
        <w:rPr>
          <w:rFonts w:ascii="Times New Roman" w:hAnsi="Times New Roman"/>
          <w:sz w:val="24"/>
          <w:szCs w:val="24"/>
        </w:rPr>
        <w:t xml:space="preserve">justificar a </w:t>
      </w:r>
      <w:r w:rsidR="00FF497C" w:rsidRPr="00B47801">
        <w:rPr>
          <w:rFonts w:ascii="Times New Roman" w:hAnsi="Times New Roman"/>
          <w:sz w:val="24"/>
          <w:szCs w:val="24"/>
        </w:rPr>
        <w:t xml:space="preserve">intensa </w:t>
      </w:r>
      <w:r w:rsidRPr="00B47801">
        <w:rPr>
          <w:rFonts w:ascii="Times New Roman" w:hAnsi="Times New Roman"/>
          <w:sz w:val="24"/>
          <w:szCs w:val="24"/>
        </w:rPr>
        <w:t xml:space="preserve">contração </w:t>
      </w:r>
      <w:r w:rsidR="00E73B76" w:rsidRPr="00B47801">
        <w:rPr>
          <w:rFonts w:ascii="Times New Roman" w:hAnsi="Times New Roman"/>
          <w:sz w:val="24"/>
          <w:szCs w:val="24"/>
        </w:rPr>
        <w:t xml:space="preserve">dessa atividade </w:t>
      </w:r>
      <w:r w:rsidRPr="00B47801">
        <w:rPr>
          <w:rFonts w:ascii="Times New Roman" w:hAnsi="Times New Roman"/>
          <w:sz w:val="24"/>
          <w:szCs w:val="24"/>
        </w:rPr>
        <w:t xml:space="preserve">no </w:t>
      </w:r>
      <w:r w:rsidR="00E73B76" w:rsidRPr="00B47801">
        <w:rPr>
          <w:rFonts w:ascii="Times New Roman" w:hAnsi="Times New Roman"/>
          <w:sz w:val="24"/>
          <w:szCs w:val="24"/>
        </w:rPr>
        <w:t xml:space="preserve">princípio </w:t>
      </w:r>
      <w:r w:rsidRPr="00B47801">
        <w:rPr>
          <w:rFonts w:ascii="Times New Roman" w:hAnsi="Times New Roman"/>
          <w:sz w:val="24"/>
          <w:szCs w:val="24"/>
        </w:rPr>
        <w:t>do século XIX</w:t>
      </w:r>
      <w:r w:rsidR="004D2790" w:rsidRPr="00B47801">
        <w:rPr>
          <w:rFonts w:ascii="Times New Roman" w:hAnsi="Times New Roman"/>
          <w:sz w:val="24"/>
          <w:szCs w:val="24"/>
        </w:rPr>
        <w:t>:</w:t>
      </w:r>
      <w:r w:rsidRPr="00B47801">
        <w:rPr>
          <w:rFonts w:ascii="Times New Roman" w:hAnsi="Times New Roman"/>
          <w:sz w:val="24"/>
          <w:szCs w:val="24"/>
        </w:rPr>
        <w:t xml:space="preserve"> </w:t>
      </w:r>
      <w:r w:rsidR="004D2790" w:rsidRPr="00B47801">
        <w:rPr>
          <w:rFonts w:ascii="Times New Roman" w:hAnsi="Times New Roman"/>
          <w:sz w:val="24"/>
          <w:szCs w:val="24"/>
        </w:rPr>
        <w:t xml:space="preserve">a </w:t>
      </w:r>
      <w:r w:rsidRPr="00B47801">
        <w:rPr>
          <w:rFonts w:ascii="Times New Roman" w:hAnsi="Times New Roman"/>
          <w:sz w:val="24"/>
          <w:szCs w:val="24"/>
        </w:rPr>
        <w:t xml:space="preserve">redução </w:t>
      </w:r>
      <w:r w:rsidR="00E73B76" w:rsidRPr="00B47801">
        <w:rPr>
          <w:rFonts w:ascii="Times New Roman" w:hAnsi="Times New Roman"/>
          <w:sz w:val="24"/>
          <w:szCs w:val="24"/>
        </w:rPr>
        <w:t xml:space="preserve">muito </w:t>
      </w:r>
      <w:r w:rsidR="008655A7" w:rsidRPr="00B47801">
        <w:rPr>
          <w:rFonts w:ascii="Times New Roman" w:hAnsi="Times New Roman"/>
          <w:sz w:val="24"/>
          <w:szCs w:val="24"/>
        </w:rPr>
        <w:t xml:space="preserve">expressiva </w:t>
      </w:r>
      <w:r w:rsidRPr="00B47801">
        <w:rPr>
          <w:rFonts w:ascii="Times New Roman" w:hAnsi="Times New Roman"/>
          <w:sz w:val="24"/>
          <w:szCs w:val="24"/>
        </w:rPr>
        <w:t xml:space="preserve">das exportações de </w:t>
      </w:r>
      <w:r w:rsidR="008655A7" w:rsidRPr="00B47801">
        <w:rPr>
          <w:rFonts w:ascii="Times New Roman" w:hAnsi="Times New Roman"/>
          <w:sz w:val="24"/>
          <w:szCs w:val="24"/>
        </w:rPr>
        <w:t>‘</w:t>
      </w:r>
      <w:r w:rsidRPr="00B47801">
        <w:rPr>
          <w:rFonts w:ascii="Times New Roman" w:hAnsi="Times New Roman"/>
          <w:sz w:val="24"/>
          <w:szCs w:val="24"/>
        </w:rPr>
        <w:t>manufaturas do reino</w:t>
      </w:r>
      <w:r w:rsidR="008655A7" w:rsidRPr="00B47801">
        <w:rPr>
          <w:rFonts w:ascii="Times New Roman" w:hAnsi="Times New Roman"/>
          <w:sz w:val="24"/>
          <w:szCs w:val="24"/>
        </w:rPr>
        <w:t>’</w:t>
      </w:r>
      <w:r w:rsidRPr="00B47801">
        <w:rPr>
          <w:rFonts w:ascii="Times New Roman" w:hAnsi="Times New Roman"/>
          <w:sz w:val="24"/>
          <w:szCs w:val="24"/>
        </w:rPr>
        <w:t xml:space="preserve"> para o Brasil</w:t>
      </w:r>
      <w:r w:rsidR="004D2790" w:rsidRPr="00B47801">
        <w:rPr>
          <w:rFonts w:ascii="Times New Roman" w:hAnsi="Times New Roman"/>
          <w:sz w:val="24"/>
          <w:szCs w:val="24"/>
        </w:rPr>
        <w:t>.</w:t>
      </w:r>
      <w:r w:rsidR="005662A6" w:rsidRPr="00B47801">
        <w:rPr>
          <w:rFonts w:ascii="Times New Roman" w:hAnsi="Times New Roman"/>
          <w:sz w:val="24"/>
          <w:szCs w:val="24"/>
        </w:rPr>
        <w:t xml:space="preserve"> </w:t>
      </w:r>
      <w:r w:rsidR="004D2790" w:rsidRPr="00B47801">
        <w:rPr>
          <w:rFonts w:ascii="Times New Roman" w:hAnsi="Times New Roman"/>
          <w:sz w:val="24"/>
          <w:szCs w:val="24"/>
        </w:rPr>
        <w:t xml:space="preserve">Atualmente, a historiografia dispõe, não só da composição detalhada </w:t>
      </w:r>
      <w:r w:rsidR="008C5318">
        <w:rPr>
          <w:rFonts w:ascii="Times New Roman" w:hAnsi="Times New Roman"/>
          <w:sz w:val="24"/>
          <w:szCs w:val="24"/>
        </w:rPr>
        <w:t xml:space="preserve">dessas </w:t>
      </w:r>
      <w:r w:rsidR="004D2790" w:rsidRPr="00B47801">
        <w:rPr>
          <w:rFonts w:ascii="Times New Roman" w:hAnsi="Times New Roman"/>
          <w:sz w:val="24"/>
          <w:szCs w:val="24"/>
        </w:rPr>
        <w:t>exportações 1796-1830 (Pedreira 2021)</w:t>
      </w:r>
      <w:r w:rsidR="009E73F4" w:rsidRPr="00B47801">
        <w:rPr>
          <w:rFonts w:ascii="Times New Roman" w:hAnsi="Times New Roman"/>
          <w:sz w:val="24"/>
          <w:szCs w:val="24"/>
        </w:rPr>
        <w:t>, como da variação do PIB nominal para o mesmo período (Palma &amp; Reis 2019). Em conjunto, deve ser possível</w:t>
      </w:r>
      <w:r w:rsidR="00B309A0">
        <w:rPr>
          <w:rFonts w:ascii="Times New Roman" w:hAnsi="Times New Roman"/>
          <w:sz w:val="24"/>
          <w:szCs w:val="24"/>
        </w:rPr>
        <w:t xml:space="preserve"> </w:t>
      </w:r>
      <w:r w:rsidR="00704B9E" w:rsidRPr="00B47801">
        <w:rPr>
          <w:rFonts w:ascii="Times New Roman" w:hAnsi="Times New Roman"/>
          <w:sz w:val="24"/>
          <w:szCs w:val="24"/>
        </w:rPr>
        <w:t xml:space="preserve">testar </w:t>
      </w:r>
      <w:r w:rsidR="009E73F4" w:rsidRPr="00B47801">
        <w:rPr>
          <w:rFonts w:ascii="Times New Roman" w:hAnsi="Times New Roman"/>
          <w:sz w:val="24"/>
          <w:szCs w:val="24"/>
        </w:rPr>
        <w:t>a compatibilidade da evolução dessas diferentes variáveis</w:t>
      </w:r>
      <w:r w:rsidR="00B309A0">
        <w:rPr>
          <w:rFonts w:ascii="Times New Roman" w:hAnsi="Times New Roman"/>
          <w:sz w:val="24"/>
          <w:szCs w:val="24"/>
        </w:rPr>
        <w:t>.</w:t>
      </w:r>
      <w:r w:rsidR="009E73F4" w:rsidRPr="00B47801">
        <w:rPr>
          <w:rFonts w:ascii="Times New Roman" w:hAnsi="Times New Roman"/>
          <w:sz w:val="24"/>
          <w:szCs w:val="24"/>
        </w:rPr>
        <w:t xml:space="preserve"> </w:t>
      </w:r>
      <w:r w:rsidR="00AE6FC6" w:rsidRPr="00B47801">
        <w:rPr>
          <w:rFonts w:ascii="Times New Roman" w:hAnsi="Times New Roman"/>
          <w:sz w:val="24"/>
          <w:szCs w:val="24"/>
        </w:rPr>
        <w:t xml:space="preserve">Apresenta-se a variação </w:t>
      </w:r>
      <w:r w:rsidR="000C5015" w:rsidRPr="00B47801">
        <w:rPr>
          <w:rFonts w:ascii="Times New Roman" w:hAnsi="Times New Roman"/>
          <w:sz w:val="24"/>
          <w:szCs w:val="24"/>
        </w:rPr>
        <w:t>do detalhe das</w:t>
      </w:r>
      <w:r w:rsidR="00AE6FC6" w:rsidRPr="00B47801">
        <w:rPr>
          <w:rFonts w:ascii="Times New Roman" w:hAnsi="Times New Roman"/>
          <w:sz w:val="24"/>
          <w:szCs w:val="24"/>
        </w:rPr>
        <w:t xml:space="preserve"> exportações </w:t>
      </w:r>
      <w:r w:rsidR="000C5015" w:rsidRPr="00B47801">
        <w:rPr>
          <w:rFonts w:ascii="Times New Roman" w:hAnsi="Times New Roman"/>
          <w:sz w:val="24"/>
          <w:szCs w:val="24"/>
        </w:rPr>
        <w:t xml:space="preserve">para o Brasil </w:t>
      </w:r>
      <w:r w:rsidR="00AE6FC6" w:rsidRPr="00B47801">
        <w:rPr>
          <w:rFonts w:ascii="Times New Roman" w:hAnsi="Times New Roman"/>
          <w:sz w:val="24"/>
          <w:szCs w:val="24"/>
        </w:rPr>
        <w:t xml:space="preserve">e do PIB na Tabela </w:t>
      </w:r>
      <w:r w:rsidR="000C5015" w:rsidRPr="00B47801">
        <w:rPr>
          <w:rFonts w:ascii="Times New Roman" w:hAnsi="Times New Roman"/>
          <w:sz w:val="24"/>
          <w:szCs w:val="24"/>
        </w:rPr>
        <w:t>4.</w:t>
      </w:r>
    </w:p>
    <w:p w14:paraId="7EA3EF23" w14:textId="77777777" w:rsidR="00AE6FC6" w:rsidRPr="00FF1508" w:rsidRDefault="00AE6FC6" w:rsidP="00FF1508">
      <w:pPr>
        <w:spacing w:line="240" w:lineRule="auto"/>
        <w:ind w:firstLine="142"/>
        <w:rPr>
          <w:rFonts w:ascii="Times New Roman" w:hAnsi="Times New Roman"/>
          <w:sz w:val="22"/>
          <w:szCs w:val="22"/>
        </w:rPr>
      </w:pPr>
    </w:p>
    <w:p w14:paraId="2FB04964" w14:textId="639D310E" w:rsidR="00AE6FC6" w:rsidRPr="00FF1508" w:rsidRDefault="00AE6FC6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FF1508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FF1508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FF1508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FF1508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F535A2" w:rsidRPr="00FF1508">
        <w:rPr>
          <w:rFonts w:ascii="Times New Roman" w:hAnsi="Times New Roman"/>
          <w:b/>
          <w:bCs/>
          <w:noProof/>
          <w:sz w:val="22"/>
          <w:szCs w:val="22"/>
        </w:rPr>
        <w:t>4</w:t>
      </w:r>
      <w:r w:rsidRPr="00FF1508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FF1508">
        <w:rPr>
          <w:rFonts w:ascii="Times New Roman" w:hAnsi="Times New Roman"/>
          <w:b/>
          <w:bCs/>
          <w:sz w:val="22"/>
          <w:szCs w:val="22"/>
        </w:rPr>
        <w:t xml:space="preserve">: Exportações p/ o Brasil, Exportações Totais e PIB (1796-1831) </w:t>
      </w:r>
    </w:p>
    <w:p w14:paraId="78785FD1" w14:textId="774CF909" w:rsidR="009E73F4" w:rsidRPr="00B47801" w:rsidRDefault="00866500" w:rsidP="008906F1">
      <w:pPr>
        <w:spacing w:line="48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E73A3A" wp14:editId="5037BE98">
            <wp:extent cx="5058000" cy="1274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001A" w14:textId="68B9B1D1" w:rsidR="00AE6FC6" w:rsidRDefault="00AE6FC6" w:rsidP="00FF1508">
      <w:pPr>
        <w:spacing w:line="276" w:lineRule="auto"/>
        <w:ind w:left="709" w:right="662"/>
        <w:rPr>
          <w:rFonts w:ascii="Times New Roman" w:hAnsi="Times New Roman"/>
          <w:sz w:val="24"/>
          <w:szCs w:val="24"/>
        </w:rPr>
      </w:pPr>
      <w:r w:rsidRPr="00FF1508">
        <w:rPr>
          <w:rFonts w:ascii="Times New Roman" w:hAnsi="Times New Roman"/>
          <w:b/>
          <w:bCs/>
          <w:sz w:val="22"/>
          <w:szCs w:val="22"/>
        </w:rPr>
        <w:t>Fontes</w:t>
      </w:r>
      <w:r w:rsidRPr="00FF1508">
        <w:rPr>
          <w:rFonts w:ascii="Times New Roman" w:hAnsi="Times New Roman"/>
          <w:sz w:val="22"/>
          <w:szCs w:val="22"/>
        </w:rPr>
        <w:t xml:space="preserve">: Pedreira (2021, 36-39); Palma &amp; Reis (2019, apêndice online) </w:t>
      </w:r>
      <w:r w:rsidRPr="00FF1508">
        <w:rPr>
          <w:rFonts w:ascii="Times New Roman" w:hAnsi="Times New Roman"/>
          <w:b/>
          <w:bCs/>
          <w:sz w:val="22"/>
          <w:szCs w:val="22"/>
        </w:rPr>
        <w:t>Nota</w:t>
      </w:r>
      <w:r w:rsidRPr="00FF1508">
        <w:rPr>
          <w:rFonts w:ascii="Times New Roman" w:hAnsi="Times New Roman"/>
          <w:sz w:val="22"/>
          <w:szCs w:val="22"/>
        </w:rPr>
        <w:t>: médias nos períodos considerados. Valores em contos de Reis</w:t>
      </w:r>
      <w:r w:rsidRPr="00B47801">
        <w:rPr>
          <w:rFonts w:ascii="Times New Roman" w:hAnsi="Times New Roman"/>
          <w:sz w:val="24"/>
          <w:szCs w:val="24"/>
        </w:rPr>
        <w:t xml:space="preserve">. </w:t>
      </w:r>
    </w:p>
    <w:p w14:paraId="0292AA05" w14:textId="77777777" w:rsidR="008C5318" w:rsidRPr="00B47801" w:rsidRDefault="008C5318" w:rsidP="008C5318">
      <w:pPr>
        <w:spacing w:line="276" w:lineRule="auto"/>
        <w:ind w:left="709" w:right="662"/>
        <w:rPr>
          <w:rFonts w:ascii="Times New Roman" w:hAnsi="Times New Roman"/>
          <w:sz w:val="24"/>
          <w:szCs w:val="24"/>
        </w:rPr>
      </w:pPr>
    </w:p>
    <w:p w14:paraId="6504C30F" w14:textId="77777777" w:rsidR="00AE6FC6" w:rsidRPr="00B47801" w:rsidRDefault="00AE6FC6" w:rsidP="00FF1508">
      <w:pPr>
        <w:spacing w:line="240" w:lineRule="auto"/>
        <w:ind w:left="709" w:right="662"/>
        <w:rPr>
          <w:rFonts w:ascii="Times New Roman" w:hAnsi="Times New Roman"/>
          <w:sz w:val="24"/>
          <w:szCs w:val="24"/>
        </w:rPr>
      </w:pPr>
    </w:p>
    <w:p w14:paraId="2A42F112" w14:textId="33D13A7F" w:rsidR="003E4AF7" w:rsidRPr="00B47801" w:rsidRDefault="009E73F4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 </w:t>
      </w:r>
      <w:r w:rsidR="0076241E" w:rsidRPr="00B47801">
        <w:rPr>
          <w:rFonts w:ascii="Times New Roman" w:hAnsi="Times New Roman"/>
          <w:sz w:val="24"/>
          <w:szCs w:val="24"/>
        </w:rPr>
        <w:t xml:space="preserve">O período entre o final do século XVIII e o início do século XIX é caracterizado por um aumento da atividade mercantil: em valor, as exportações </w:t>
      </w:r>
      <w:r w:rsidR="00AC5E9A" w:rsidRPr="00B47801">
        <w:rPr>
          <w:rFonts w:ascii="Times New Roman" w:hAnsi="Times New Roman"/>
          <w:sz w:val="24"/>
          <w:szCs w:val="24"/>
        </w:rPr>
        <w:t xml:space="preserve">totais </w:t>
      </w:r>
      <w:r w:rsidR="0076241E" w:rsidRPr="00B47801">
        <w:rPr>
          <w:rFonts w:ascii="Times New Roman" w:hAnsi="Times New Roman"/>
          <w:sz w:val="24"/>
          <w:szCs w:val="24"/>
        </w:rPr>
        <w:t>duplicaram na última década dos Setecentos</w:t>
      </w:r>
      <w:r w:rsidR="002E6D3C" w:rsidRPr="00B47801">
        <w:rPr>
          <w:rFonts w:ascii="Times New Roman" w:hAnsi="Times New Roman"/>
          <w:sz w:val="24"/>
          <w:szCs w:val="24"/>
        </w:rPr>
        <w:t xml:space="preserve">, anulando </w:t>
      </w:r>
      <w:r w:rsidR="0076241E" w:rsidRPr="00B47801">
        <w:rPr>
          <w:rFonts w:ascii="Times New Roman" w:hAnsi="Times New Roman"/>
          <w:sz w:val="24"/>
          <w:szCs w:val="24"/>
        </w:rPr>
        <w:t xml:space="preserve">o défice </w:t>
      </w:r>
      <w:r w:rsidR="000C5015" w:rsidRPr="00B47801">
        <w:rPr>
          <w:rFonts w:ascii="Times New Roman" w:hAnsi="Times New Roman"/>
          <w:sz w:val="24"/>
          <w:szCs w:val="24"/>
        </w:rPr>
        <w:t xml:space="preserve">da balança </w:t>
      </w:r>
      <w:r w:rsidR="0076241E" w:rsidRPr="00B47801">
        <w:rPr>
          <w:rFonts w:ascii="Times New Roman" w:hAnsi="Times New Roman"/>
          <w:sz w:val="24"/>
          <w:szCs w:val="24"/>
        </w:rPr>
        <w:t xml:space="preserve">comercial (Costa </w:t>
      </w:r>
      <w:r w:rsidR="0076241E" w:rsidRPr="00B47801">
        <w:rPr>
          <w:rFonts w:ascii="Times New Roman" w:hAnsi="Times New Roman"/>
          <w:i/>
          <w:iCs/>
          <w:sz w:val="24"/>
          <w:szCs w:val="24"/>
        </w:rPr>
        <w:t>et al</w:t>
      </w:r>
      <w:r w:rsidR="0076241E" w:rsidRPr="00B47801">
        <w:rPr>
          <w:rFonts w:ascii="Times New Roman" w:hAnsi="Times New Roman"/>
          <w:sz w:val="24"/>
          <w:szCs w:val="24"/>
        </w:rPr>
        <w:t>. 2011, 264).</w:t>
      </w:r>
      <w:r w:rsidR="008A2551" w:rsidRPr="00B47801">
        <w:rPr>
          <w:rFonts w:ascii="Times New Roman" w:hAnsi="Times New Roman"/>
          <w:sz w:val="24"/>
          <w:szCs w:val="24"/>
        </w:rPr>
        <w:t xml:space="preserve"> Entre 1796-</w:t>
      </w:r>
      <w:r w:rsidR="008A2551" w:rsidRPr="00B47801">
        <w:rPr>
          <w:rFonts w:ascii="Times New Roman" w:hAnsi="Times New Roman"/>
          <w:sz w:val="24"/>
          <w:szCs w:val="24"/>
        </w:rPr>
        <w:lastRenderedPageBreak/>
        <w:t>1806, o peso das exportações aproximou-se de 20%</w:t>
      </w:r>
      <w:r w:rsidR="002E6D3C" w:rsidRPr="00B47801">
        <w:rPr>
          <w:rFonts w:ascii="Times New Roman" w:hAnsi="Times New Roman"/>
          <w:sz w:val="24"/>
          <w:szCs w:val="24"/>
        </w:rPr>
        <w:t xml:space="preserve"> do PIB</w:t>
      </w:r>
      <w:r w:rsidR="008A2551" w:rsidRPr="00B47801">
        <w:rPr>
          <w:rFonts w:ascii="Times New Roman" w:hAnsi="Times New Roman"/>
          <w:sz w:val="24"/>
          <w:szCs w:val="24"/>
        </w:rPr>
        <w:t xml:space="preserve">, sendo que as exportações para o Brasil representavam 1/3 das exportações totais, ou seja, </w:t>
      </w:r>
      <w:r w:rsidR="00AC5E9A" w:rsidRPr="00B47801">
        <w:rPr>
          <w:rFonts w:ascii="Times New Roman" w:hAnsi="Times New Roman"/>
          <w:sz w:val="24"/>
          <w:szCs w:val="24"/>
        </w:rPr>
        <w:t xml:space="preserve">com </w:t>
      </w:r>
      <w:r w:rsidR="008A2551" w:rsidRPr="00B47801">
        <w:rPr>
          <w:rFonts w:ascii="Times New Roman" w:hAnsi="Times New Roman"/>
          <w:sz w:val="24"/>
          <w:szCs w:val="24"/>
        </w:rPr>
        <w:t>um peso de 6,4% no PIB</w:t>
      </w:r>
      <w:r w:rsidR="008A2551" w:rsidRPr="00B47801">
        <w:rPr>
          <w:rStyle w:val="FootnoteReference"/>
          <w:rFonts w:ascii="Times New Roman" w:hAnsi="Times New Roman"/>
          <w:sz w:val="24"/>
          <w:szCs w:val="24"/>
        </w:rPr>
        <w:footnoteReference w:id="37"/>
      </w:r>
      <w:r w:rsidR="008A2551" w:rsidRPr="00B47801">
        <w:rPr>
          <w:rFonts w:ascii="Times New Roman" w:hAnsi="Times New Roman"/>
          <w:sz w:val="24"/>
          <w:szCs w:val="24"/>
        </w:rPr>
        <w:t xml:space="preserve">. O crescimento das exportações das manufaturas nacionais, em particular, dos têxteis, foi um dos elementos que participou na prosperidade mercantil deste período (Pedreira 1994, 293). </w:t>
      </w:r>
      <w:r w:rsidR="003E4AF7" w:rsidRPr="00B47801">
        <w:rPr>
          <w:rFonts w:ascii="Times New Roman" w:hAnsi="Times New Roman"/>
          <w:sz w:val="24"/>
          <w:szCs w:val="24"/>
        </w:rPr>
        <w:t xml:space="preserve">Em valor, </w:t>
      </w:r>
      <w:r w:rsidR="008A2551" w:rsidRPr="00B47801">
        <w:rPr>
          <w:rFonts w:ascii="Times New Roman" w:hAnsi="Times New Roman"/>
          <w:sz w:val="24"/>
          <w:szCs w:val="24"/>
        </w:rPr>
        <w:t xml:space="preserve">as </w:t>
      </w:r>
      <w:r w:rsidR="003E4AF7" w:rsidRPr="00B47801">
        <w:rPr>
          <w:rFonts w:ascii="Times New Roman" w:hAnsi="Times New Roman"/>
          <w:sz w:val="24"/>
          <w:szCs w:val="24"/>
        </w:rPr>
        <w:t xml:space="preserve">exportações para o Brasil </w:t>
      </w:r>
      <w:r w:rsidR="008A2551" w:rsidRPr="00B47801">
        <w:rPr>
          <w:rFonts w:ascii="Times New Roman" w:hAnsi="Times New Roman"/>
          <w:sz w:val="24"/>
          <w:szCs w:val="24"/>
        </w:rPr>
        <w:t xml:space="preserve">de produtos em </w:t>
      </w:r>
      <w:r w:rsidR="003E4AF7" w:rsidRPr="00B47801">
        <w:rPr>
          <w:rFonts w:ascii="Times New Roman" w:hAnsi="Times New Roman"/>
          <w:sz w:val="24"/>
          <w:szCs w:val="24"/>
        </w:rPr>
        <w:t>algodão, chapelaria, linho, lã e seda</w:t>
      </w:r>
      <w:r w:rsidR="008A2551" w:rsidRPr="00B47801">
        <w:rPr>
          <w:rFonts w:ascii="Times New Roman" w:hAnsi="Times New Roman"/>
          <w:sz w:val="24"/>
          <w:szCs w:val="24"/>
        </w:rPr>
        <w:t>,</w:t>
      </w:r>
      <w:r w:rsidR="003E4AF7" w:rsidRPr="00B47801">
        <w:rPr>
          <w:rFonts w:ascii="Times New Roman" w:hAnsi="Times New Roman"/>
          <w:sz w:val="24"/>
          <w:szCs w:val="24"/>
        </w:rPr>
        <w:t xml:space="preserve"> aumentaram por um fator de </w:t>
      </w:r>
      <w:r w:rsidR="009E2543">
        <w:rPr>
          <w:rFonts w:ascii="Times New Roman" w:hAnsi="Times New Roman"/>
          <w:sz w:val="24"/>
          <w:szCs w:val="24"/>
        </w:rPr>
        <w:t xml:space="preserve">quatro </w:t>
      </w:r>
      <w:r w:rsidR="003E4AF7" w:rsidRPr="00B47801">
        <w:rPr>
          <w:rFonts w:ascii="Times New Roman" w:hAnsi="Times New Roman"/>
          <w:sz w:val="24"/>
          <w:szCs w:val="24"/>
        </w:rPr>
        <w:t xml:space="preserve">no último quartel do século XVIII (Pedreira 2005, 203). Este crescimento foi especialmente intenso nos últimos anos dos Setecentos, traduzindo-se num aumento do volume de produção de aproximadamente 75% (Madureira 1997, 337). </w:t>
      </w:r>
      <w:r w:rsidR="00704B9E" w:rsidRPr="00B47801">
        <w:rPr>
          <w:rFonts w:ascii="Times New Roman" w:hAnsi="Times New Roman"/>
          <w:sz w:val="24"/>
          <w:szCs w:val="24"/>
        </w:rPr>
        <w:t>Em 1800, o peso das exportações das manufaturas têxteis para o Brasil representava 2,5%</w:t>
      </w:r>
      <w:r w:rsidR="00CB7B3F" w:rsidRPr="00B47801">
        <w:rPr>
          <w:rFonts w:ascii="Times New Roman" w:hAnsi="Times New Roman"/>
          <w:sz w:val="24"/>
          <w:szCs w:val="24"/>
        </w:rPr>
        <w:t xml:space="preserve"> do PIB</w:t>
      </w:r>
      <w:r w:rsidR="00704B9E" w:rsidRPr="00B47801">
        <w:rPr>
          <w:rFonts w:ascii="Times New Roman" w:hAnsi="Times New Roman"/>
          <w:sz w:val="24"/>
          <w:szCs w:val="24"/>
        </w:rPr>
        <w:t xml:space="preserve">. </w:t>
      </w:r>
    </w:p>
    <w:p w14:paraId="6E9A60E1" w14:textId="03869CEE" w:rsidR="005B68B5" w:rsidRPr="00B47801" w:rsidRDefault="002E6D3C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Apesar de, como </w:t>
      </w:r>
      <w:r w:rsidR="008A2551" w:rsidRPr="00B47801">
        <w:rPr>
          <w:rFonts w:ascii="Times New Roman" w:hAnsi="Times New Roman"/>
          <w:sz w:val="24"/>
          <w:szCs w:val="24"/>
        </w:rPr>
        <w:t xml:space="preserve">salientado por Madureira (1997), o declínio das exportações </w:t>
      </w:r>
      <w:r w:rsidR="00CB7B3F" w:rsidRPr="00B47801">
        <w:rPr>
          <w:rFonts w:ascii="Times New Roman" w:hAnsi="Times New Roman"/>
          <w:sz w:val="24"/>
          <w:szCs w:val="24"/>
        </w:rPr>
        <w:t xml:space="preserve">para o Brasil </w:t>
      </w:r>
      <w:r w:rsidR="008655A7" w:rsidRPr="00B47801">
        <w:rPr>
          <w:rFonts w:ascii="Times New Roman" w:hAnsi="Times New Roman"/>
          <w:sz w:val="24"/>
          <w:szCs w:val="24"/>
        </w:rPr>
        <w:t xml:space="preserve">ter </w:t>
      </w:r>
      <w:r w:rsidRPr="00B47801">
        <w:rPr>
          <w:rFonts w:ascii="Times New Roman" w:hAnsi="Times New Roman"/>
          <w:sz w:val="24"/>
          <w:szCs w:val="24"/>
        </w:rPr>
        <w:t xml:space="preserve">antecedido </w:t>
      </w:r>
      <w:r w:rsidR="008A2551" w:rsidRPr="00B47801">
        <w:rPr>
          <w:rFonts w:ascii="Times New Roman" w:hAnsi="Times New Roman"/>
          <w:sz w:val="24"/>
          <w:szCs w:val="24"/>
        </w:rPr>
        <w:t>a liberalização do comércio com Inglaterra (Madureira 1997, p)</w:t>
      </w:r>
      <w:r w:rsidRPr="00B47801">
        <w:rPr>
          <w:rFonts w:ascii="Times New Roman" w:hAnsi="Times New Roman"/>
          <w:sz w:val="24"/>
          <w:szCs w:val="24"/>
        </w:rPr>
        <w:t xml:space="preserve">, </w:t>
      </w:r>
      <w:r w:rsidR="008A2551" w:rsidRPr="00B47801">
        <w:rPr>
          <w:rFonts w:ascii="Times New Roman" w:hAnsi="Times New Roman"/>
          <w:sz w:val="24"/>
          <w:szCs w:val="24"/>
        </w:rPr>
        <w:t xml:space="preserve">a abertura dos portos em 1808, seguido do tratado de Comércio Luso-Britânico de 1810, contribuiu </w:t>
      </w:r>
      <w:r w:rsidR="009E2543">
        <w:rPr>
          <w:rFonts w:ascii="Times New Roman" w:hAnsi="Times New Roman"/>
          <w:sz w:val="24"/>
          <w:szCs w:val="24"/>
        </w:rPr>
        <w:t>significativamente</w:t>
      </w:r>
      <w:r w:rsidR="008A2551" w:rsidRPr="00B47801">
        <w:rPr>
          <w:rFonts w:ascii="Times New Roman" w:hAnsi="Times New Roman"/>
          <w:sz w:val="24"/>
          <w:szCs w:val="24"/>
        </w:rPr>
        <w:t xml:space="preserve"> para </w:t>
      </w:r>
      <w:r w:rsidR="009E2543">
        <w:rPr>
          <w:rFonts w:ascii="Times New Roman" w:hAnsi="Times New Roman"/>
          <w:sz w:val="24"/>
          <w:szCs w:val="24"/>
        </w:rPr>
        <w:t xml:space="preserve">o declínio </w:t>
      </w:r>
      <w:r w:rsidR="008A2551" w:rsidRPr="00B47801">
        <w:rPr>
          <w:rFonts w:ascii="Times New Roman" w:hAnsi="Times New Roman"/>
          <w:sz w:val="24"/>
          <w:szCs w:val="24"/>
        </w:rPr>
        <w:t xml:space="preserve">desse comércio. </w:t>
      </w:r>
      <w:r w:rsidR="00306BCE" w:rsidRPr="00B47801">
        <w:rPr>
          <w:rFonts w:ascii="Times New Roman" w:hAnsi="Times New Roman"/>
          <w:sz w:val="24"/>
          <w:szCs w:val="24"/>
        </w:rPr>
        <w:t xml:space="preserve">Entre 1816-1822, </w:t>
      </w:r>
      <w:r w:rsidR="008A2551" w:rsidRPr="00B47801">
        <w:rPr>
          <w:rFonts w:ascii="Times New Roman" w:hAnsi="Times New Roman"/>
          <w:sz w:val="24"/>
          <w:szCs w:val="24"/>
        </w:rPr>
        <w:t xml:space="preserve">as exportações haviam </w:t>
      </w:r>
      <w:r w:rsidR="00306BCE" w:rsidRPr="00B47801">
        <w:rPr>
          <w:rFonts w:ascii="Times New Roman" w:hAnsi="Times New Roman"/>
          <w:sz w:val="24"/>
          <w:szCs w:val="24"/>
        </w:rPr>
        <w:t>decrescido mais de 40</w:t>
      </w:r>
      <w:r w:rsidR="008A2551" w:rsidRPr="00B47801">
        <w:rPr>
          <w:rFonts w:ascii="Times New Roman" w:hAnsi="Times New Roman"/>
          <w:sz w:val="24"/>
          <w:szCs w:val="24"/>
        </w:rPr>
        <w:t>% face o seu valor de pico na viragem do século (Pedreira 2021, 38-39), embora se aproximassem, em volume, dos valores c. 1805 (Madureira 1997, 337</w:t>
      </w:r>
      <w:r w:rsidR="00CB7B3F" w:rsidRPr="00B47801">
        <w:rPr>
          <w:rFonts w:ascii="Times New Roman" w:hAnsi="Times New Roman"/>
          <w:sz w:val="24"/>
          <w:szCs w:val="24"/>
        </w:rPr>
        <w:t>).</w:t>
      </w:r>
      <w:r w:rsidR="00CB7B3F" w:rsidRPr="00B47801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="009E2543">
        <w:rPr>
          <w:rFonts w:ascii="Times New Roman" w:hAnsi="Times New Roman"/>
          <w:sz w:val="24"/>
          <w:szCs w:val="24"/>
        </w:rPr>
        <w:t xml:space="preserve">Findo o </w:t>
      </w:r>
      <w:r w:rsidR="00B97887" w:rsidRPr="00B47801">
        <w:rPr>
          <w:rFonts w:ascii="Times New Roman" w:hAnsi="Times New Roman"/>
          <w:sz w:val="24"/>
          <w:szCs w:val="24"/>
        </w:rPr>
        <w:t>acesso privilegiado</w:t>
      </w:r>
      <w:r w:rsidR="008A2551" w:rsidRPr="00B47801">
        <w:rPr>
          <w:rFonts w:ascii="Times New Roman" w:hAnsi="Times New Roman"/>
          <w:sz w:val="24"/>
          <w:szCs w:val="24"/>
        </w:rPr>
        <w:t xml:space="preserve"> </w:t>
      </w:r>
      <w:r w:rsidR="00B97887" w:rsidRPr="00B47801">
        <w:rPr>
          <w:rFonts w:ascii="Times New Roman" w:hAnsi="Times New Roman"/>
          <w:sz w:val="24"/>
          <w:szCs w:val="24"/>
        </w:rPr>
        <w:t xml:space="preserve">ao mercado brasileiro </w:t>
      </w:r>
      <w:r w:rsidR="00866500" w:rsidRPr="00B47801">
        <w:rPr>
          <w:rFonts w:ascii="Times New Roman" w:hAnsi="Times New Roman"/>
          <w:sz w:val="24"/>
          <w:szCs w:val="24"/>
        </w:rPr>
        <w:t xml:space="preserve">(1825-1831), </w:t>
      </w:r>
      <w:r w:rsidR="00B76F35" w:rsidRPr="00B47801">
        <w:rPr>
          <w:rFonts w:ascii="Times New Roman" w:hAnsi="Times New Roman"/>
          <w:sz w:val="24"/>
          <w:szCs w:val="24"/>
        </w:rPr>
        <w:t xml:space="preserve">o valor </w:t>
      </w:r>
      <w:r w:rsidR="00CB7B3F" w:rsidRPr="00B47801">
        <w:rPr>
          <w:rFonts w:ascii="Times New Roman" w:hAnsi="Times New Roman"/>
          <w:sz w:val="24"/>
          <w:szCs w:val="24"/>
        </w:rPr>
        <w:t xml:space="preserve">das </w:t>
      </w:r>
      <w:r w:rsidR="00B76F35" w:rsidRPr="00B47801">
        <w:rPr>
          <w:rFonts w:ascii="Times New Roman" w:hAnsi="Times New Roman"/>
          <w:sz w:val="24"/>
          <w:szCs w:val="24"/>
        </w:rPr>
        <w:t xml:space="preserve">exportações </w:t>
      </w:r>
      <w:r w:rsidR="00CB7B3F" w:rsidRPr="00B47801">
        <w:rPr>
          <w:rFonts w:ascii="Times New Roman" w:hAnsi="Times New Roman"/>
          <w:sz w:val="24"/>
          <w:szCs w:val="24"/>
        </w:rPr>
        <w:t xml:space="preserve">regista nova contração, </w:t>
      </w:r>
      <w:r w:rsidR="00306BCE" w:rsidRPr="00B47801">
        <w:rPr>
          <w:rFonts w:ascii="Times New Roman" w:hAnsi="Times New Roman"/>
          <w:sz w:val="24"/>
          <w:szCs w:val="24"/>
        </w:rPr>
        <w:t xml:space="preserve">passando a representar </w:t>
      </w:r>
      <w:r w:rsidR="00CB7B3F" w:rsidRPr="00B47801">
        <w:rPr>
          <w:rFonts w:ascii="Times New Roman" w:hAnsi="Times New Roman"/>
          <w:sz w:val="24"/>
          <w:szCs w:val="24"/>
        </w:rPr>
        <w:t xml:space="preserve">apenas 1/3 do valor </w:t>
      </w:r>
      <w:r w:rsidR="008F509A" w:rsidRPr="00B47801">
        <w:rPr>
          <w:rFonts w:ascii="Times New Roman" w:hAnsi="Times New Roman"/>
          <w:sz w:val="24"/>
          <w:szCs w:val="24"/>
        </w:rPr>
        <w:t>d</w:t>
      </w:r>
      <w:r w:rsidR="00CB7B3F" w:rsidRPr="00B47801">
        <w:rPr>
          <w:rFonts w:ascii="Times New Roman" w:hAnsi="Times New Roman"/>
          <w:sz w:val="24"/>
          <w:szCs w:val="24"/>
        </w:rPr>
        <w:t>a viragem do século</w:t>
      </w:r>
      <w:r w:rsidR="00B76F35" w:rsidRPr="00B47801">
        <w:rPr>
          <w:rFonts w:ascii="Times New Roman" w:hAnsi="Times New Roman"/>
          <w:sz w:val="24"/>
          <w:szCs w:val="24"/>
        </w:rPr>
        <w:t xml:space="preserve">, </w:t>
      </w:r>
      <w:r w:rsidR="00CB7B3F" w:rsidRPr="00B47801">
        <w:rPr>
          <w:rFonts w:ascii="Times New Roman" w:hAnsi="Times New Roman"/>
          <w:sz w:val="24"/>
          <w:szCs w:val="24"/>
        </w:rPr>
        <w:t xml:space="preserve">reduzindo-se o seu peso no </w:t>
      </w:r>
      <w:r w:rsidR="00B76F35" w:rsidRPr="00B47801">
        <w:rPr>
          <w:rFonts w:ascii="Times New Roman" w:hAnsi="Times New Roman"/>
          <w:sz w:val="24"/>
          <w:szCs w:val="24"/>
        </w:rPr>
        <w:t>PIB</w:t>
      </w:r>
      <w:r w:rsidR="00CB7B3F" w:rsidRPr="00B47801">
        <w:rPr>
          <w:rFonts w:ascii="Times New Roman" w:hAnsi="Times New Roman"/>
          <w:sz w:val="24"/>
          <w:szCs w:val="24"/>
        </w:rPr>
        <w:t xml:space="preserve"> para 7%</w:t>
      </w:r>
      <w:r w:rsidR="00B76F35" w:rsidRPr="00B47801">
        <w:rPr>
          <w:rFonts w:ascii="Times New Roman" w:hAnsi="Times New Roman"/>
          <w:sz w:val="24"/>
          <w:szCs w:val="24"/>
        </w:rPr>
        <w:t xml:space="preserve">. </w:t>
      </w:r>
      <w:r w:rsidR="00CB7B3F" w:rsidRPr="00B47801">
        <w:rPr>
          <w:rFonts w:ascii="Times New Roman" w:hAnsi="Times New Roman"/>
          <w:sz w:val="24"/>
          <w:szCs w:val="24"/>
        </w:rPr>
        <w:t>As manufaturas têxteis apresentam uma queda ainda mais expressiva (-73%), representando apenas 0,5% do PIB</w:t>
      </w:r>
      <w:r w:rsidRPr="00B47801">
        <w:rPr>
          <w:rFonts w:ascii="Times New Roman" w:hAnsi="Times New Roman"/>
          <w:sz w:val="24"/>
          <w:szCs w:val="24"/>
        </w:rPr>
        <w:t xml:space="preserve"> no fim dos anos 1820</w:t>
      </w:r>
      <w:r w:rsidR="00CB7B3F" w:rsidRPr="00B47801">
        <w:rPr>
          <w:rFonts w:ascii="Times New Roman" w:hAnsi="Times New Roman"/>
          <w:sz w:val="24"/>
          <w:szCs w:val="24"/>
        </w:rPr>
        <w:t xml:space="preserve">. </w:t>
      </w:r>
      <w:r w:rsidR="008F509A" w:rsidRPr="00B47801">
        <w:rPr>
          <w:rFonts w:ascii="Times New Roman" w:hAnsi="Times New Roman"/>
          <w:sz w:val="24"/>
          <w:szCs w:val="24"/>
        </w:rPr>
        <w:t xml:space="preserve">Até que ponto a queda expressiva das exportações de produtos têxteis para o Brasil pode explicar a contração da categoria profissional RNAG? </w:t>
      </w:r>
    </w:p>
    <w:p w14:paraId="30CD28EB" w14:textId="614B00C4" w:rsidR="009E2543" w:rsidRDefault="002E6D3C" w:rsidP="00A8405B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>Para ensaiar uma resposta, é necessário, e</w:t>
      </w:r>
      <w:r w:rsidR="008F509A" w:rsidRPr="00B47801">
        <w:rPr>
          <w:rFonts w:ascii="Times New Roman" w:hAnsi="Times New Roman"/>
          <w:sz w:val="24"/>
          <w:szCs w:val="24"/>
        </w:rPr>
        <w:t xml:space="preserve">m primeiro lugar, estimar, aproximadamente, o contributo da indústria rural </w:t>
      </w:r>
      <w:r w:rsidR="009E2543">
        <w:rPr>
          <w:rFonts w:ascii="Times New Roman" w:hAnsi="Times New Roman"/>
          <w:sz w:val="24"/>
          <w:szCs w:val="24"/>
        </w:rPr>
        <w:t xml:space="preserve">para essas </w:t>
      </w:r>
      <w:r w:rsidR="008F509A" w:rsidRPr="00B47801">
        <w:rPr>
          <w:rFonts w:ascii="Times New Roman" w:hAnsi="Times New Roman"/>
          <w:sz w:val="24"/>
          <w:szCs w:val="24"/>
        </w:rPr>
        <w:t xml:space="preserve">exportações. </w:t>
      </w:r>
      <w:r w:rsidR="009E2543" w:rsidRPr="00B47801">
        <w:rPr>
          <w:rFonts w:ascii="Times New Roman" w:hAnsi="Times New Roman"/>
          <w:sz w:val="24"/>
          <w:szCs w:val="24"/>
        </w:rPr>
        <w:t xml:space="preserve">Em segundo lugar, deve estimar-se a </w:t>
      </w:r>
      <w:r w:rsidR="009E2543" w:rsidRPr="00B47801">
        <w:rPr>
          <w:rFonts w:ascii="Times New Roman" w:hAnsi="Times New Roman"/>
          <w:sz w:val="24"/>
          <w:szCs w:val="24"/>
        </w:rPr>
        <w:lastRenderedPageBreak/>
        <w:t xml:space="preserve">componente RNAG do PIB – o que foi efetuado na secção </w:t>
      </w:r>
      <w:r w:rsidR="009E2543" w:rsidRPr="00B47801">
        <w:rPr>
          <w:rFonts w:ascii="Times New Roman" w:hAnsi="Times New Roman"/>
          <w:sz w:val="24"/>
          <w:szCs w:val="24"/>
        </w:rPr>
        <w:fldChar w:fldCharType="begin"/>
      </w:r>
      <w:r w:rsidR="009E2543" w:rsidRPr="00B47801">
        <w:rPr>
          <w:rFonts w:ascii="Times New Roman" w:hAnsi="Times New Roman"/>
          <w:sz w:val="24"/>
          <w:szCs w:val="24"/>
        </w:rPr>
        <w:instrText xml:space="preserve"> REF _Ref133621638 \r \h  \* MERGEFORMAT </w:instrText>
      </w:r>
      <w:r w:rsidR="009E2543" w:rsidRPr="00B47801">
        <w:rPr>
          <w:rFonts w:ascii="Times New Roman" w:hAnsi="Times New Roman"/>
          <w:sz w:val="24"/>
          <w:szCs w:val="24"/>
        </w:rPr>
      </w:r>
      <w:r w:rsidR="009E2543" w:rsidRPr="00B47801">
        <w:rPr>
          <w:rFonts w:ascii="Times New Roman" w:hAnsi="Times New Roman"/>
          <w:sz w:val="24"/>
          <w:szCs w:val="24"/>
        </w:rPr>
        <w:fldChar w:fldCharType="separate"/>
      </w:r>
      <w:r w:rsidR="009E2543" w:rsidRPr="00B47801">
        <w:rPr>
          <w:rFonts w:ascii="Times New Roman" w:hAnsi="Times New Roman"/>
          <w:sz w:val="24"/>
          <w:szCs w:val="24"/>
        </w:rPr>
        <w:t>4</w:t>
      </w:r>
      <w:r w:rsidR="009E2543" w:rsidRPr="00B47801">
        <w:rPr>
          <w:rFonts w:ascii="Times New Roman" w:hAnsi="Times New Roman"/>
          <w:sz w:val="24"/>
          <w:szCs w:val="24"/>
        </w:rPr>
        <w:fldChar w:fldCharType="end"/>
      </w:r>
      <w:r w:rsidR="009E2543" w:rsidRPr="00B47801">
        <w:rPr>
          <w:rFonts w:ascii="Times New Roman" w:hAnsi="Times New Roman"/>
          <w:sz w:val="24"/>
          <w:szCs w:val="24"/>
        </w:rPr>
        <w:t xml:space="preserve"> – por forma a </w:t>
      </w:r>
      <w:r w:rsidR="00A8405B">
        <w:rPr>
          <w:rFonts w:ascii="Times New Roman" w:hAnsi="Times New Roman"/>
          <w:sz w:val="24"/>
          <w:szCs w:val="24"/>
        </w:rPr>
        <w:t>ensaiar um</w:t>
      </w:r>
      <w:r w:rsidR="009E2543" w:rsidRPr="00B47801">
        <w:rPr>
          <w:rFonts w:ascii="Times New Roman" w:hAnsi="Times New Roman"/>
          <w:sz w:val="24"/>
          <w:szCs w:val="24"/>
        </w:rPr>
        <w:t xml:space="preserve">a </w:t>
      </w:r>
      <w:r w:rsidR="00A8405B">
        <w:rPr>
          <w:rFonts w:ascii="Times New Roman" w:hAnsi="Times New Roman"/>
          <w:sz w:val="24"/>
          <w:szCs w:val="24"/>
        </w:rPr>
        <w:t xml:space="preserve">aferição </w:t>
      </w:r>
      <w:r w:rsidR="009E2543" w:rsidRPr="00B47801">
        <w:rPr>
          <w:rFonts w:ascii="Times New Roman" w:hAnsi="Times New Roman"/>
          <w:sz w:val="24"/>
          <w:szCs w:val="24"/>
        </w:rPr>
        <w:t xml:space="preserve">. </w:t>
      </w:r>
    </w:p>
    <w:p w14:paraId="44743934" w14:textId="2E53C234" w:rsidR="00E27001" w:rsidRPr="00B47801" w:rsidRDefault="009E2543" w:rsidP="009E2543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Parte desta produção para exportação</w:t>
      </w:r>
      <w:r w:rsidR="00AC5E9A" w:rsidRPr="00B47801">
        <w:rPr>
          <w:rFonts w:ascii="Times New Roman" w:hAnsi="Times New Roman"/>
          <w:sz w:val="24"/>
          <w:szCs w:val="24"/>
        </w:rPr>
        <w:t>,</w:t>
      </w:r>
      <w:r w:rsidR="008F509A" w:rsidRPr="00B47801">
        <w:rPr>
          <w:rFonts w:ascii="Times New Roman" w:hAnsi="Times New Roman"/>
          <w:sz w:val="24"/>
          <w:szCs w:val="24"/>
        </w:rPr>
        <w:t xml:space="preserve"> como </w:t>
      </w:r>
      <w:r>
        <w:rPr>
          <w:rFonts w:ascii="Times New Roman" w:hAnsi="Times New Roman"/>
          <w:sz w:val="24"/>
          <w:szCs w:val="24"/>
        </w:rPr>
        <w:t xml:space="preserve">os </w:t>
      </w:r>
      <w:r w:rsidR="008F509A" w:rsidRPr="00B47801">
        <w:rPr>
          <w:rFonts w:ascii="Times New Roman" w:hAnsi="Times New Roman"/>
          <w:sz w:val="24"/>
          <w:szCs w:val="24"/>
        </w:rPr>
        <w:t xml:space="preserve">panos de linho, </w:t>
      </w:r>
      <w:r w:rsidR="00283481" w:rsidRPr="00B47801">
        <w:rPr>
          <w:rFonts w:ascii="Times New Roman" w:hAnsi="Times New Roman"/>
          <w:sz w:val="24"/>
          <w:szCs w:val="24"/>
        </w:rPr>
        <w:t>estava fortemente implantad</w:t>
      </w:r>
      <w:r w:rsidR="00AC5E9A" w:rsidRPr="00B47801">
        <w:rPr>
          <w:rFonts w:ascii="Times New Roman" w:hAnsi="Times New Roman"/>
          <w:sz w:val="24"/>
          <w:szCs w:val="24"/>
        </w:rPr>
        <w:t>a</w:t>
      </w:r>
      <w:r w:rsidR="00283481" w:rsidRPr="00B47801">
        <w:rPr>
          <w:rFonts w:ascii="Times New Roman" w:hAnsi="Times New Roman"/>
          <w:sz w:val="24"/>
          <w:szCs w:val="24"/>
        </w:rPr>
        <w:t xml:space="preserve"> na indústria rural</w:t>
      </w:r>
      <w:r w:rsidR="002E6D3C" w:rsidRPr="00B47801">
        <w:rPr>
          <w:rFonts w:ascii="Times New Roman" w:hAnsi="Times New Roman"/>
          <w:sz w:val="24"/>
          <w:szCs w:val="24"/>
        </w:rPr>
        <w:t xml:space="preserve">, pelo </w:t>
      </w:r>
      <w:r w:rsidR="00AC5E9A" w:rsidRPr="00B47801">
        <w:rPr>
          <w:rFonts w:ascii="Times New Roman" w:hAnsi="Times New Roman"/>
          <w:sz w:val="24"/>
          <w:szCs w:val="24"/>
        </w:rPr>
        <w:t xml:space="preserve">que </w:t>
      </w:r>
      <w:r w:rsidR="002E6D3C" w:rsidRPr="00B47801">
        <w:rPr>
          <w:rFonts w:ascii="Times New Roman" w:hAnsi="Times New Roman"/>
          <w:sz w:val="24"/>
          <w:szCs w:val="24"/>
        </w:rPr>
        <w:t>deve se</w:t>
      </w:r>
      <w:r w:rsidR="00AC5E9A" w:rsidRPr="00B47801">
        <w:rPr>
          <w:rFonts w:ascii="Times New Roman" w:hAnsi="Times New Roman"/>
          <w:sz w:val="24"/>
          <w:szCs w:val="24"/>
        </w:rPr>
        <w:t>r</w:t>
      </w:r>
      <w:r w:rsidR="002E6D3C" w:rsidRPr="00B47801">
        <w:rPr>
          <w:rFonts w:ascii="Times New Roman" w:hAnsi="Times New Roman"/>
          <w:sz w:val="24"/>
          <w:szCs w:val="24"/>
        </w:rPr>
        <w:t xml:space="preserve"> considerad</w:t>
      </w:r>
      <w:r w:rsidR="00AC5E9A" w:rsidRPr="00B47801">
        <w:rPr>
          <w:rFonts w:ascii="Times New Roman" w:hAnsi="Times New Roman"/>
          <w:sz w:val="24"/>
          <w:szCs w:val="24"/>
        </w:rPr>
        <w:t>a</w:t>
      </w:r>
      <w:r w:rsidR="002E6D3C" w:rsidRPr="00B47801">
        <w:rPr>
          <w:rFonts w:ascii="Times New Roman" w:hAnsi="Times New Roman"/>
          <w:sz w:val="24"/>
          <w:szCs w:val="24"/>
        </w:rPr>
        <w:t xml:space="preserve"> na totalidade. </w:t>
      </w:r>
      <w:r w:rsidR="00AA32D7" w:rsidRPr="00B47801">
        <w:rPr>
          <w:rFonts w:ascii="Times New Roman" w:hAnsi="Times New Roman"/>
          <w:sz w:val="24"/>
          <w:szCs w:val="24"/>
        </w:rPr>
        <w:t>A produção algodoeira</w:t>
      </w:r>
      <w:r w:rsidR="00283481" w:rsidRPr="00B47801">
        <w:rPr>
          <w:rFonts w:ascii="Times New Roman" w:hAnsi="Times New Roman"/>
          <w:sz w:val="24"/>
          <w:szCs w:val="24"/>
        </w:rPr>
        <w:t xml:space="preserve">, pelo contrário, </w:t>
      </w:r>
      <w:r w:rsidR="00AA32D7" w:rsidRPr="00B47801">
        <w:rPr>
          <w:rFonts w:ascii="Times New Roman" w:hAnsi="Times New Roman"/>
          <w:sz w:val="24"/>
          <w:szCs w:val="24"/>
        </w:rPr>
        <w:t xml:space="preserve">dirigiu-se para o </w:t>
      </w:r>
      <w:r w:rsidR="00283481" w:rsidRPr="00B47801">
        <w:rPr>
          <w:rFonts w:ascii="Times New Roman" w:hAnsi="Times New Roman"/>
          <w:sz w:val="24"/>
          <w:szCs w:val="24"/>
        </w:rPr>
        <w:t xml:space="preserve">setor da estamparia </w:t>
      </w:r>
      <w:r w:rsidR="00AA32D7" w:rsidRPr="00B47801">
        <w:rPr>
          <w:rFonts w:ascii="Times New Roman" w:hAnsi="Times New Roman"/>
          <w:sz w:val="24"/>
          <w:szCs w:val="24"/>
        </w:rPr>
        <w:t xml:space="preserve">e </w:t>
      </w:r>
      <w:r w:rsidR="00283481" w:rsidRPr="00B47801">
        <w:rPr>
          <w:rFonts w:ascii="Times New Roman" w:hAnsi="Times New Roman"/>
          <w:sz w:val="24"/>
          <w:szCs w:val="24"/>
        </w:rPr>
        <w:t xml:space="preserve">instalou-se predominantemente na região de Lisboa, </w:t>
      </w:r>
      <w:r w:rsidR="00AA32D7" w:rsidRPr="00B47801">
        <w:rPr>
          <w:rFonts w:ascii="Times New Roman" w:hAnsi="Times New Roman"/>
          <w:sz w:val="24"/>
          <w:szCs w:val="24"/>
        </w:rPr>
        <w:t>onde</w:t>
      </w:r>
      <w:r w:rsidR="000D0ECD" w:rsidRPr="00B47801">
        <w:rPr>
          <w:rFonts w:ascii="Times New Roman" w:hAnsi="Times New Roman"/>
          <w:sz w:val="24"/>
          <w:szCs w:val="24"/>
        </w:rPr>
        <w:t xml:space="preserve"> </w:t>
      </w:r>
      <w:r w:rsidR="00AA32D7" w:rsidRPr="00B47801">
        <w:rPr>
          <w:rFonts w:ascii="Times New Roman" w:hAnsi="Times New Roman"/>
          <w:sz w:val="24"/>
          <w:szCs w:val="24"/>
        </w:rPr>
        <w:t xml:space="preserve">acedia com maior facilidade </w:t>
      </w:r>
      <w:r w:rsidR="000D0ECD" w:rsidRPr="00B47801">
        <w:rPr>
          <w:rFonts w:ascii="Times New Roman" w:hAnsi="Times New Roman"/>
          <w:sz w:val="24"/>
          <w:szCs w:val="24"/>
        </w:rPr>
        <w:t>à</w:t>
      </w:r>
      <w:r w:rsidR="00AA32D7" w:rsidRPr="00B47801">
        <w:rPr>
          <w:rFonts w:ascii="Times New Roman" w:hAnsi="Times New Roman"/>
          <w:sz w:val="24"/>
          <w:szCs w:val="24"/>
        </w:rPr>
        <w:t xml:space="preserve"> </w:t>
      </w:r>
      <w:r w:rsidR="00283481" w:rsidRPr="00B47801">
        <w:rPr>
          <w:rFonts w:ascii="Times New Roman" w:hAnsi="Times New Roman"/>
          <w:sz w:val="24"/>
          <w:szCs w:val="24"/>
        </w:rPr>
        <w:t xml:space="preserve">matéria-prima importada (Pedreira 1991, 544). </w:t>
      </w:r>
      <w:r w:rsidRPr="00B47801">
        <w:rPr>
          <w:rFonts w:ascii="Times New Roman" w:hAnsi="Times New Roman"/>
          <w:sz w:val="24"/>
          <w:szCs w:val="24"/>
        </w:rPr>
        <w:t xml:space="preserve">Pedreira </w:t>
      </w:r>
      <w:r>
        <w:rPr>
          <w:rFonts w:ascii="Times New Roman" w:hAnsi="Times New Roman"/>
          <w:sz w:val="24"/>
          <w:szCs w:val="24"/>
        </w:rPr>
        <w:t>(</w:t>
      </w:r>
      <w:r w:rsidRPr="00B47801">
        <w:rPr>
          <w:rFonts w:ascii="Times New Roman" w:hAnsi="Times New Roman"/>
          <w:sz w:val="24"/>
          <w:szCs w:val="24"/>
        </w:rPr>
        <w:t>1991, 553)</w:t>
      </w:r>
      <w:r>
        <w:rPr>
          <w:rFonts w:ascii="Times New Roman" w:hAnsi="Times New Roman"/>
          <w:sz w:val="24"/>
          <w:szCs w:val="24"/>
        </w:rPr>
        <w:t xml:space="preserve"> </w:t>
      </w:r>
      <w:r w:rsidR="00283481" w:rsidRPr="00B47801">
        <w:rPr>
          <w:rFonts w:ascii="Times New Roman" w:hAnsi="Times New Roman"/>
          <w:sz w:val="24"/>
          <w:szCs w:val="24"/>
        </w:rPr>
        <w:t>estima que os produtos estampados (saias e chitas) representavam 56% das exportações em algodão para o Brasil em 1815 e 84% em 1825. Assumiu-se</w:t>
      </w:r>
      <w:r w:rsidR="009807C2" w:rsidRPr="00B47801">
        <w:rPr>
          <w:rFonts w:ascii="Times New Roman" w:hAnsi="Times New Roman"/>
          <w:sz w:val="24"/>
          <w:szCs w:val="24"/>
        </w:rPr>
        <w:t xml:space="preserve"> </w:t>
      </w:r>
      <w:r w:rsidR="00283481" w:rsidRPr="00B47801">
        <w:rPr>
          <w:rFonts w:ascii="Times New Roman" w:hAnsi="Times New Roman"/>
          <w:sz w:val="24"/>
          <w:szCs w:val="24"/>
        </w:rPr>
        <w:t>que apenas os produtos estampados tinham origem nos meios urbanos e aplicou-se a distribuição verificada em 1815</w:t>
      </w:r>
      <w:r w:rsidR="002E6D3C" w:rsidRPr="00B47801">
        <w:rPr>
          <w:rFonts w:ascii="Times New Roman" w:hAnsi="Times New Roman"/>
          <w:sz w:val="24"/>
          <w:szCs w:val="24"/>
        </w:rPr>
        <w:t xml:space="preserve">. Ou </w:t>
      </w:r>
      <w:r w:rsidR="00283481" w:rsidRPr="00B47801">
        <w:rPr>
          <w:rFonts w:ascii="Times New Roman" w:hAnsi="Times New Roman"/>
          <w:sz w:val="24"/>
          <w:szCs w:val="24"/>
        </w:rPr>
        <w:t xml:space="preserve">seja, que 44% das exportações de produtos de algodão teriam origem no meio rural. Os mesmo se verifica em relação às sedas, com uma parte importante da produção concentrada em Lisboa, apesar da </w:t>
      </w:r>
      <w:r>
        <w:rPr>
          <w:rFonts w:ascii="Times New Roman" w:hAnsi="Times New Roman"/>
          <w:sz w:val="24"/>
          <w:szCs w:val="24"/>
        </w:rPr>
        <w:t xml:space="preserve">presença desta </w:t>
      </w:r>
      <w:r w:rsidR="00283481" w:rsidRPr="00B47801">
        <w:rPr>
          <w:rFonts w:ascii="Times New Roman" w:hAnsi="Times New Roman"/>
          <w:sz w:val="24"/>
          <w:szCs w:val="24"/>
        </w:rPr>
        <w:t xml:space="preserve">atividade em Trás-os-Montes. No século XIX, as exportações de produtos </w:t>
      </w:r>
      <w:r>
        <w:rPr>
          <w:rFonts w:ascii="Times New Roman" w:hAnsi="Times New Roman"/>
          <w:sz w:val="24"/>
          <w:szCs w:val="24"/>
        </w:rPr>
        <w:t xml:space="preserve">de </w:t>
      </w:r>
      <w:r w:rsidR="00283481" w:rsidRPr="00B47801">
        <w:rPr>
          <w:rFonts w:ascii="Times New Roman" w:hAnsi="Times New Roman"/>
          <w:sz w:val="24"/>
          <w:szCs w:val="24"/>
        </w:rPr>
        <w:t xml:space="preserve">seda </w:t>
      </w:r>
      <w:r w:rsidR="002E6D3C" w:rsidRPr="00B47801">
        <w:rPr>
          <w:rFonts w:ascii="Times New Roman" w:hAnsi="Times New Roman"/>
          <w:sz w:val="24"/>
          <w:szCs w:val="24"/>
        </w:rPr>
        <w:t xml:space="preserve">a partir </w:t>
      </w:r>
      <w:r w:rsidR="00283481" w:rsidRPr="00B47801">
        <w:rPr>
          <w:rFonts w:ascii="Times New Roman" w:hAnsi="Times New Roman"/>
          <w:sz w:val="24"/>
          <w:szCs w:val="24"/>
        </w:rPr>
        <w:t>de Lisboa foram sempre superiores às com origem no Porto</w:t>
      </w:r>
      <w:r w:rsidR="00AC5E9A" w:rsidRPr="00B47801">
        <w:rPr>
          <w:rFonts w:ascii="Times New Roman" w:hAnsi="Times New Roman"/>
          <w:sz w:val="24"/>
          <w:szCs w:val="24"/>
        </w:rPr>
        <w:t xml:space="preserve"> (Pedreira 1987, 577)</w:t>
      </w:r>
      <w:r w:rsidR="00283481" w:rsidRPr="00B47801">
        <w:rPr>
          <w:rFonts w:ascii="Times New Roman" w:hAnsi="Times New Roman"/>
          <w:sz w:val="24"/>
          <w:szCs w:val="24"/>
        </w:rPr>
        <w:t>, pelo que se considerou uma ponderação de 50%.</w:t>
      </w:r>
      <w:r w:rsidR="00125D76" w:rsidRPr="00B47801">
        <w:rPr>
          <w:rFonts w:ascii="Times New Roman" w:hAnsi="Times New Roman"/>
          <w:sz w:val="24"/>
          <w:szCs w:val="24"/>
        </w:rPr>
        <w:t xml:space="preserve"> </w:t>
      </w:r>
      <w:r w:rsidR="002E6D3C" w:rsidRPr="00B47801">
        <w:rPr>
          <w:rFonts w:ascii="Times New Roman" w:hAnsi="Times New Roman"/>
          <w:sz w:val="24"/>
          <w:szCs w:val="24"/>
        </w:rPr>
        <w:t xml:space="preserve">Nos </w:t>
      </w:r>
      <w:r w:rsidR="00125D76" w:rsidRPr="00B47801">
        <w:rPr>
          <w:rFonts w:ascii="Times New Roman" w:hAnsi="Times New Roman"/>
          <w:sz w:val="24"/>
          <w:szCs w:val="24"/>
        </w:rPr>
        <w:t xml:space="preserve">lanifícios </w:t>
      </w:r>
      <w:r w:rsidR="002E6D3C" w:rsidRPr="00B47801">
        <w:rPr>
          <w:rFonts w:ascii="Times New Roman" w:hAnsi="Times New Roman"/>
          <w:sz w:val="24"/>
          <w:szCs w:val="24"/>
        </w:rPr>
        <w:t xml:space="preserve">verificava-se </w:t>
      </w:r>
      <w:r w:rsidR="00125D76" w:rsidRPr="00B47801">
        <w:rPr>
          <w:rFonts w:ascii="Times New Roman" w:hAnsi="Times New Roman"/>
          <w:sz w:val="24"/>
          <w:szCs w:val="24"/>
        </w:rPr>
        <w:t>uma complementaridade na cadeia de valor</w:t>
      </w:r>
      <w:r w:rsidR="002E6D3C" w:rsidRPr="00B47801">
        <w:rPr>
          <w:rFonts w:ascii="Times New Roman" w:hAnsi="Times New Roman"/>
          <w:sz w:val="24"/>
          <w:szCs w:val="24"/>
        </w:rPr>
        <w:t>,</w:t>
      </w:r>
      <w:r w:rsidR="00125D76" w:rsidRPr="00B47801">
        <w:rPr>
          <w:rFonts w:ascii="Times New Roman" w:hAnsi="Times New Roman"/>
          <w:sz w:val="24"/>
          <w:szCs w:val="24"/>
        </w:rPr>
        <w:t xml:space="preserve"> entre a atividade organizada nas manufaturas e a indústria doméstica</w:t>
      </w:r>
      <w:r>
        <w:rPr>
          <w:rFonts w:ascii="Times New Roman" w:hAnsi="Times New Roman"/>
          <w:sz w:val="24"/>
          <w:szCs w:val="24"/>
        </w:rPr>
        <w:t xml:space="preserve"> (sobretudo na região Serrana).</w:t>
      </w:r>
      <w:r w:rsidR="00125D76" w:rsidRPr="00B47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125D76" w:rsidRPr="00B47801">
        <w:rPr>
          <w:rFonts w:ascii="Times New Roman" w:hAnsi="Times New Roman"/>
          <w:sz w:val="24"/>
          <w:szCs w:val="24"/>
        </w:rPr>
        <w:t>ssumiu</w:t>
      </w:r>
      <w:r>
        <w:rPr>
          <w:rFonts w:ascii="Times New Roman" w:hAnsi="Times New Roman"/>
          <w:sz w:val="24"/>
          <w:szCs w:val="24"/>
        </w:rPr>
        <w:t>-se</w:t>
      </w:r>
      <w:r w:rsidR="009807C2" w:rsidRPr="00B47801">
        <w:rPr>
          <w:rFonts w:ascii="Times New Roman" w:hAnsi="Times New Roman"/>
          <w:sz w:val="24"/>
          <w:szCs w:val="24"/>
        </w:rPr>
        <w:t xml:space="preserve">, conservadoramente, </w:t>
      </w:r>
      <w:r w:rsidR="00125D76" w:rsidRPr="00B47801">
        <w:rPr>
          <w:rFonts w:ascii="Times New Roman" w:hAnsi="Times New Roman"/>
          <w:sz w:val="24"/>
          <w:szCs w:val="24"/>
        </w:rPr>
        <w:t xml:space="preserve">que a totalidade da produção teria origem nos meios rurais. </w:t>
      </w:r>
      <w:r w:rsidR="00646117" w:rsidRPr="00B47801">
        <w:rPr>
          <w:rFonts w:ascii="Times New Roman" w:hAnsi="Times New Roman"/>
          <w:sz w:val="24"/>
          <w:szCs w:val="24"/>
        </w:rPr>
        <w:t>A produção de chapelaria estava concentrada em artífices nos meios urbanos</w:t>
      </w:r>
      <w:r w:rsidR="00773F57" w:rsidRPr="00B47801">
        <w:rPr>
          <w:rFonts w:ascii="Times New Roman" w:hAnsi="Times New Roman"/>
          <w:sz w:val="24"/>
          <w:szCs w:val="24"/>
        </w:rPr>
        <w:t>.</w:t>
      </w:r>
      <w:r w:rsidR="00646117" w:rsidRPr="00B47801">
        <w:rPr>
          <w:rFonts w:ascii="Times New Roman" w:hAnsi="Times New Roman"/>
          <w:sz w:val="24"/>
          <w:szCs w:val="24"/>
        </w:rPr>
        <w:t xml:space="preserve"> Ainda assim, </w:t>
      </w:r>
      <w:r w:rsidR="002E6D3C" w:rsidRPr="00B47801">
        <w:rPr>
          <w:rFonts w:ascii="Times New Roman" w:hAnsi="Times New Roman"/>
          <w:sz w:val="24"/>
          <w:szCs w:val="24"/>
        </w:rPr>
        <w:t>considerou-se</w:t>
      </w:r>
      <w:r w:rsidR="00646117" w:rsidRPr="00B47801">
        <w:rPr>
          <w:rFonts w:ascii="Times New Roman" w:hAnsi="Times New Roman"/>
          <w:sz w:val="24"/>
          <w:szCs w:val="24"/>
        </w:rPr>
        <w:t xml:space="preserve"> que 50% da sua cadeia de valor era oriunda dos meios rurais. </w:t>
      </w:r>
      <w:r w:rsidR="00E27001" w:rsidRPr="00B47801">
        <w:rPr>
          <w:rFonts w:ascii="Times New Roman" w:hAnsi="Times New Roman"/>
          <w:sz w:val="24"/>
          <w:szCs w:val="24"/>
        </w:rPr>
        <w:t xml:space="preserve">Assumindo </w:t>
      </w:r>
      <w:r w:rsidR="002E6D3C" w:rsidRPr="00B47801">
        <w:rPr>
          <w:rFonts w:ascii="Times New Roman" w:hAnsi="Times New Roman"/>
          <w:sz w:val="24"/>
          <w:szCs w:val="24"/>
        </w:rPr>
        <w:t>estes pressupostos</w:t>
      </w:r>
      <w:r w:rsidR="00E27001" w:rsidRPr="00B47801">
        <w:rPr>
          <w:rFonts w:ascii="Times New Roman" w:hAnsi="Times New Roman"/>
          <w:sz w:val="24"/>
          <w:szCs w:val="24"/>
        </w:rPr>
        <w:t xml:space="preserve">, entre 60% a 80% dos produtos têxteis exportados para o Brasil teriam origem nos meios rurais. </w:t>
      </w:r>
      <w:r w:rsidR="00646117" w:rsidRPr="00B47801">
        <w:rPr>
          <w:rFonts w:ascii="Times New Roman" w:hAnsi="Times New Roman"/>
          <w:sz w:val="24"/>
          <w:szCs w:val="24"/>
        </w:rPr>
        <w:t xml:space="preserve">Apresenta-se o resultado desse exercício na Tabela </w:t>
      </w:r>
      <w:r w:rsidR="00E27001" w:rsidRPr="00B47801">
        <w:rPr>
          <w:rFonts w:ascii="Times New Roman" w:hAnsi="Times New Roman"/>
          <w:sz w:val="24"/>
          <w:szCs w:val="24"/>
        </w:rPr>
        <w:t>5.</w:t>
      </w:r>
    </w:p>
    <w:p w14:paraId="5676322F" w14:textId="77777777" w:rsidR="000D7998" w:rsidRPr="00FF1508" w:rsidRDefault="000D7998" w:rsidP="004E0B22">
      <w:pPr>
        <w:spacing w:line="276" w:lineRule="auto"/>
        <w:ind w:firstLine="142"/>
        <w:rPr>
          <w:rFonts w:ascii="Times New Roman" w:hAnsi="Times New Roman"/>
          <w:sz w:val="22"/>
          <w:szCs w:val="22"/>
        </w:rPr>
      </w:pPr>
    </w:p>
    <w:p w14:paraId="48032984" w14:textId="1A64FBA1" w:rsidR="00E27001" w:rsidRPr="00FF1508" w:rsidRDefault="00E27001" w:rsidP="00FF1508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FF1508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FF1508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FF1508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FF1508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6D6AF7">
        <w:rPr>
          <w:rFonts w:ascii="Times New Roman" w:hAnsi="Times New Roman"/>
          <w:b/>
          <w:bCs/>
          <w:noProof/>
          <w:sz w:val="22"/>
          <w:szCs w:val="22"/>
        </w:rPr>
        <w:t>5</w:t>
      </w:r>
      <w:r w:rsidRPr="00FF1508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FF1508">
        <w:rPr>
          <w:rFonts w:ascii="Times New Roman" w:hAnsi="Times New Roman"/>
          <w:b/>
          <w:bCs/>
          <w:sz w:val="22"/>
          <w:szCs w:val="22"/>
        </w:rPr>
        <w:t xml:space="preserve">: Exportações p/ o Brasil do Setor RNAG e PIB RNAG (1800-1830) </w:t>
      </w:r>
    </w:p>
    <w:p w14:paraId="055ACD0C" w14:textId="64FC75DA" w:rsidR="00910DDF" w:rsidRPr="00B47801" w:rsidRDefault="00BA3CA2" w:rsidP="00BA3CA2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A3CA2">
        <w:rPr>
          <w:noProof/>
        </w:rPr>
        <w:lastRenderedPageBreak/>
        <w:drawing>
          <wp:inline distT="0" distB="0" distL="0" distR="0" wp14:anchorId="74451FE6" wp14:editId="5F8B5CF2">
            <wp:extent cx="5893200" cy="1396800"/>
            <wp:effectExtent l="0" t="0" r="0" b="0"/>
            <wp:docPr id="4612007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200" cy="13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0A0D" w14:textId="68F717FE" w:rsidR="00E27001" w:rsidRPr="00FF1508" w:rsidRDefault="00E27001" w:rsidP="009E2543">
      <w:pPr>
        <w:spacing w:line="276" w:lineRule="auto"/>
        <w:ind w:left="709" w:right="662"/>
        <w:rPr>
          <w:rFonts w:ascii="Times New Roman" w:hAnsi="Times New Roman"/>
          <w:sz w:val="22"/>
          <w:szCs w:val="22"/>
        </w:rPr>
      </w:pPr>
      <w:r w:rsidRPr="00FF1508">
        <w:rPr>
          <w:rFonts w:ascii="Times New Roman" w:hAnsi="Times New Roman"/>
          <w:b/>
          <w:bCs/>
          <w:sz w:val="22"/>
          <w:szCs w:val="22"/>
        </w:rPr>
        <w:t>Fontes</w:t>
      </w:r>
      <w:r w:rsidRPr="00FF1508">
        <w:rPr>
          <w:rFonts w:ascii="Times New Roman" w:hAnsi="Times New Roman"/>
          <w:sz w:val="22"/>
          <w:szCs w:val="22"/>
        </w:rPr>
        <w:t xml:space="preserve">: </w:t>
      </w:r>
      <w:r w:rsidR="00FF1508">
        <w:rPr>
          <w:rFonts w:ascii="Times New Roman" w:hAnsi="Times New Roman"/>
          <w:sz w:val="22"/>
          <w:szCs w:val="22"/>
        </w:rPr>
        <w:t xml:space="preserve">Ver Tabela 4 </w:t>
      </w:r>
      <w:r w:rsidRPr="00FF1508">
        <w:rPr>
          <w:rFonts w:ascii="Times New Roman" w:hAnsi="Times New Roman"/>
          <w:b/>
          <w:bCs/>
          <w:sz w:val="22"/>
          <w:szCs w:val="22"/>
        </w:rPr>
        <w:t>Nota</w:t>
      </w:r>
      <w:r w:rsidRPr="00FF1508">
        <w:rPr>
          <w:rFonts w:ascii="Times New Roman" w:hAnsi="Times New Roman"/>
          <w:sz w:val="22"/>
          <w:szCs w:val="22"/>
        </w:rPr>
        <w:t xml:space="preserve">: médias a 5 anos (excetuando 1830). Valores em contos de Reis. </w:t>
      </w:r>
    </w:p>
    <w:p w14:paraId="40A22135" w14:textId="77777777" w:rsidR="00E27001" w:rsidRPr="00B47801" w:rsidRDefault="00E27001" w:rsidP="009A3EEE">
      <w:pPr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14:paraId="25B78E77" w14:textId="0F78D31C" w:rsidR="008F349B" w:rsidRDefault="008655A7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>De acordo com os pressupostos assumidos, no ano de pico (em volume e preço) das exportações têxteis para o Brasil (em 1800), os produtos com origem RNAG representavam  5,2% do PIB</w:t>
      </w:r>
      <w:r w:rsidRPr="00B47801">
        <w:rPr>
          <w:rFonts w:ascii="Times New Roman" w:hAnsi="Times New Roman"/>
          <w:sz w:val="24"/>
          <w:szCs w:val="24"/>
          <w:vertAlign w:val="subscript"/>
        </w:rPr>
        <w:t>RNAG</w:t>
      </w:r>
      <w:r w:rsidRPr="00B47801">
        <w:rPr>
          <w:rFonts w:ascii="Times New Roman" w:hAnsi="Times New Roman"/>
          <w:sz w:val="24"/>
          <w:szCs w:val="24"/>
        </w:rPr>
        <w:t>. O contributo do mercado brasileiro na atividade económica dessa categoria profissional seria forçosamente inferior: a comparação deveria incidir apenas sobre o valor acrescentado do setor nas exportações</w:t>
      </w:r>
      <w:r w:rsidR="004E0B22">
        <w:rPr>
          <w:rFonts w:ascii="Times New Roman" w:hAnsi="Times New Roman"/>
          <w:sz w:val="24"/>
          <w:szCs w:val="24"/>
        </w:rPr>
        <w:t xml:space="preserve"> e não sobre o valor de mercado das mesmas.</w:t>
      </w:r>
      <w:r w:rsidRPr="00B47801">
        <w:rPr>
          <w:rFonts w:ascii="Times New Roman" w:hAnsi="Times New Roman"/>
          <w:sz w:val="24"/>
          <w:szCs w:val="24"/>
        </w:rPr>
        <w:t xml:space="preserve"> </w:t>
      </w:r>
      <w:r w:rsidR="00253383" w:rsidRPr="00B47801">
        <w:rPr>
          <w:rFonts w:ascii="Times New Roman" w:hAnsi="Times New Roman"/>
          <w:sz w:val="24"/>
          <w:szCs w:val="24"/>
        </w:rPr>
        <w:t>E</w:t>
      </w:r>
      <w:r w:rsidR="00B73DBC" w:rsidRPr="00B47801">
        <w:rPr>
          <w:rFonts w:ascii="Times New Roman" w:hAnsi="Times New Roman"/>
          <w:sz w:val="24"/>
          <w:szCs w:val="24"/>
        </w:rPr>
        <w:t>m 1820, o peso das exportações desses produtos no PIB</w:t>
      </w:r>
      <w:r w:rsidR="00B73DBC" w:rsidRPr="00B47801">
        <w:rPr>
          <w:rFonts w:ascii="Times New Roman" w:hAnsi="Times New Roman"/>
          <w:sz w:val="24"/>
          <w:szCs w:val="24"/>
          <w:vertAlign w:val="subscript"/>
        </w:rPr>
        <w:t>RNAG</w:t>
      </w:r>
      <w:r w:rsidR="00B73DBC" w:rsidRPr="00B47801">
        <w:rPr>
          <w:rFonts w:ascii="Times New Roman" w:hAnsi="Times New Roman"/>
          <w:sz w:val="24"/>
          <w:szCs w:val="24"/>
        </w:rPr>
        <w:t xml:space="preserve"> reduziu-se para 2%, </w:t>
      </w:r>
      <w:r w:rsidR="00253383" w:rsidRPr="00B47801">
        <w:rPr>
          <w:rFonts w:ascii="Times New Roman" w:hAnsi="Times New Roman"/>
          <w:sz w:val="24"/>
          <w:szCs w:val="24"/>
        </w:rPr>
        <w:t xml:space="preserve">decorrente, sobretudo, </w:t>
      </w:r>
      <w:r w:rsidR="00B73DBC" w:rsidRPr="00B47801">
        <w:rPr>
          <w:rFonts w:ascii="Times New Roman" w:hAnsi="Times New Roman"/>
          <w:sz w:val="24"/>
          <w:szCs w:val="24"/>
        </w:rPr>
        <w:t xml:space="preserve">da contração dos preços. </w:t>
      </w:r>
      <w:r w:rsidR="00943636" w:rsidRPr="00B47801">
        <w:rPr>
          <w:rFonts w:ascii="Times New Roman" w:hAnsi="Times New Roman"/>
          <w:sz w:val="24"/>
          <w:szCs w:val="24"/>
        </w:rPr>
        <w:t>Ou seja, entre 1800-1820, a queda do comércio colonial representou menos de 3% do PIB</w:t>
      </w:r>
      <w:r w:rsidR="00943636" w:rsidRPr="00B47801">
        <w:rPr>
          <w:rFonts w:ascii="Times New Roman" w:hAnsi="Times New Roman"/>
          <w:sz w:val="24"/>
          <w:szCs w:val="24"/>
          <w:vertAlign w:val="subscript"/>
        </w:rPr>
        <w:t>RNAG</w:t>
      </w:r>
      <w:r w:rsidR="00943636" w:rsidRPr="00B47801">
        <w:rPr>
          <w:rFonts w:ascii="Times New Roman" w:hAnsi="Times New Roman"/>
          <w:sz w:val="24"/>
          <w:szCs w:val="24"/>
        </w:rPr>
        <w:t xml:space="preserve"> de 1800. </w:t>
      </w:r>
      <w:r w:rsidR="00B73DBC" w:rsidRPr="00B47801">
        <w:rPr>
          <w:rFonts w:ascii="Times New Roman" w:hAnsi="Times New Roman"/>
          <w:sz w:val="24"/>
          <w:szCs w:val="24"/>
        </w:rPr>
        <w:t xml:space="preserve">Contudo, </w:t>
      </w:r>
      <w:r w:rsidR="009807C2" w:rsidRPr="00B47801">
        <w:rPr>
          <w:rFonts w:ascii="Times New Roman" w:hAnsi="Times New Roman"/>
          <w:sz w:val="24"/>
          <w:szCs w:val="24"/>
        </w:rPr>
        <w:t xml:space="preserve">durante esse </w:t>
      </w:r>
      <w:r w:rsidR="00943636" w:rsidRPr="00B47801">
        <w:rPr>
          <w:rFonts w:ascii="Times New Roman" w:hAnsi="Times New Roman"/>
          <w:sz w:val="24"/>
          <w:szCs w:val="24"/>
        </w:rPr>
        <w:t>período, o PIB</w:t>
      </w:r>
      <w:r w:rsidR="00943636" w:rsidRPr="00B47801">
        <w:rPr>
          <w:rFonts w:ascii="Times New Roman" w:hAnsi="Times New Roman"/>
          <w:sz w:val="24"/>
          <w:szCs w:val="24"/>
          <w:vertAlign w:val="subscript"/>
        </w:rPr>
        <w:t>RNAG</w:t>
      </w:r>
      <w:r w:rsidR="00943636" w:rsidRPr="00B47801">
        <w:rPr>
          <w:rFonts w:ascii="Times New Roman" w:hAnsi="Times New Roman"/>
          <w:sz w:val="24"/>
          <w:szCs w:val="24"/>
        </w:rPr>
        <w:t xml:space="preserve"> contraiu 12% </w:t>
      </w:r>
      <w:r w:rsidR="004E0B22">
        <w:rPr>
          <w:rFonts w:ascii="Times New Roman" w:hAnsi="Times New Roman"/>
          <w:sz w:val="24"/>
          <w:szCs w:val="24"/>
        </w:rPr>
        <w:t xml:space="preserve">e </w:t>
      </w:r>
      <w:r w:rsidR="00B73DBC" w:rsidRPr="00B47801">
        <w:rPr>
          <w:rFonts w:ascii="Times New Roman" w:hAnsi="Times New Roman"/>
          <w:sz w:val="24"/>
          <w:szCs w:val="24"/>
        </w:rPr>
        <w:t xml:space="preserve">a categoria RNAG perdeu cerca de 20% dos seus efetivos. </w:t>
      </w:r>
      <w:r w:rsidR="00910DDF" w:rsidRPr="00B47801">
        <w:rPr>
          <w:rFonts w:ascii="Times New Roman" w:hAnsi="Times New Roman"/>
          <w:sz w:val="24"/>
          <w:szCs w:val="24"/>
        </w:rPr>
        <w:t>Em 18</w:t>
      </w:r>
      <w:r w:rsidR="00B73DBC" w:rsidRPr="00B47801">
        <w:rPr>
          <w:rFonts w:ascii="Times New Roman" w:hAnsi="Times New Roman"/>
          <w:sz w:val="24"/>
          <w:szCs w:val="24"/>
        </w:rPr>
        <w:t>30</w:t>
      </w:r>
      <w:r w:rsidR="00910DDF" w:rsidRPr="00B47801">
        <w:rPr>
          <w:rFonts w:ascii="Times New Roman" w:hAnsi="Times New Roman"/>
          <w:sz w:val="24"/>
          <w:szCs w:val="24"/>
        </w:rPr>
        <w:t xml:space="preserve">, </w:t>
      </w:r>
      <w:r w:rsidR="00B73DBC" w:rsidRPr="00B47801">
        <w:rPr>
          <w:rFonts w:ascii="Times New Roman" w:hAnsi="Times New Roman"/>
          <w:sz w:val="24"/>
          <w:szCs w:val="24"/>
        </w:rPr>
        <w:t xml:space="preserve">as exportações desses produtos </w:t>
      </w:r>
      <w:r w:rsidR="004E0B22">
        <w:rPr>
          <w:rFonts w:ascii="Times New Roman" w:hAnsi="Times New Roman"/>
          <w:sz w:val="24"/>
          <w:szCs w:val="24"/>
        </w:rPr>
        <w:t xml:space="preserve">já apresentavam apenas um contributo marginal no </w:t>
      </w:r>
      <w:r w:rsidR="00B73DBC" w:rsidRPr="00B47801">
        <w:rPr>
          <w:rFonts w:ascii="Times New Roman" w:hAnsi="Times New Roman"/>
          <w:sz w:val="24"/>
          <w:szCs w:val="24"/>
        </w:rPr>
        <w:t>PIB</w:t>
      </w:r>
      <w:r w:rsidR="00B73DBC" w:rsidRPr="00B47801">
        <w:rPr>
          <w:rFonts w:ascii="Times New Roman" w:hAnsi="Times New Roman"/>
          <w:sz w:val="24"/>
          <w:szCs w:val="24"/>
          <w:vertAlign w:val="subscript"/>
        </w:rPr>
        <w:t>RNAG</w:t>
      </w:r>
      <w:r w:rsidR="00B73DBC" w:rsidRPr="00B47801">
        <w:rPr>
          <w:rFonts w:ascii="Times New Roman" w:hAnsi="Times New Roman"/>
          <w:sz w:val="24"/>
          <w:szCs w:val="24"/>
        </w:rPr>
        <w:t xml:space="preserve">, </w:t>
      </w:r>
      <w:r w:rsidR="004E0B22">
        <w:rPr>
          <w:rFonts w:ascii="Times New Roman" w:hAnsi="Times New Roman"/>
          <w:sz w:val="24"/>
          <w:szCs w:val="24"/>
        </w:rPr>
        <w:t xml:space="preserve">contudo, entre 1830-1850, </w:t>
      </w:r>
      <w:r w:rsidR="00B73DBC" w:rsidRPr="00B47801">
        <w:rPr>
          <w:rFonts w:ascii="Times New Roman" w:hAnsi="Times New Roman"/>
          <w:sz w:val="24"/>
          <w:szCs w:val="24"/>
        </w:rPr>
        <w:t>a população RNAG contrai</w:t>
      </w:r>
      <w:r w:rsidR="004E0B22">
        <w:rPr>
          <w:rFonts w:ascii="Times New Roman" w:hAnsi="Times New Roman"/>
          <w:sz w:val="24"/>
          <w:szCs w:val="24"/>
        </w:rPr>
        <w:t>u</w:t>
      </w:r>
      <w:r w:rsidR="00B73DBC" w:rsidRPr="00B47801">
        <w:rPr>
          <w:rFonts w:ascii="Times New Roman" w:hAnsi="Times New Roman"/>
          <w:sz w:val="24"/>
          <w:szCs w:val="24"/>
        </w:rPr>
        <w:t xml:space="preserve"> 15%. </w:t>
      </w:r>
      <w:r w:rsidR="008F349B" w:rsidRPr="00B47801">
        <w:rPr>
          <w:rFonts w:ascii="Times New Roman" w:hAnsi="Times New Roman"/>
          <w:sz w:val="24"/>
          <w:szCs w:val="24"/>
        </w:rPr>
        <w:t>Em suma, a</w:t>
      </w:r>
      <w:r w:rsidR="00FA70AE" w:rsidRPr="00B47801">
        <w:rPr>
          <w:rFonts w:ascii="Times New Roman" w:hAnsi="Times New Roman"/>
          <w:sz w:val="24"/>
          <w:szCs w:val="24"/>
        </w:rPr>
        <w:t xml:space="preserve"> </w:t>
      </w:r>
      <w:r w:rsidR="008F349B" w:rsidRPr="00B47801">
        <w:rPr>
          <w:rFonts w:ascii="Times New Roman" w:hAnsi="Times New Roman"/>
          <w:sz w:val="24"/>
          <w:szCs w:val="24"/>
        </w:rPr>
        <w:t xml:space="preserve">perda do acesso privilegiado ao mercado </w:t>
      </w:r>
      <w:r w:rsidR="00FA70AE" w:rsidRPr="00B47801">
        <w:rPr>
          <w:rFonts w:ascii="Times New Roman" w:hAnsi="Times New Roman"/>
          <w:sz w:val="24"/>
          <w:szCs w:val="24"/>
        </w:rPr>
        <w:t>de exportação brasileiro</w:t>
      </w:r>
      <w:r w:rsidR="005F5064">
        <w:rPr>
          <w:rFonts w:ascii="Times New Roman" w:hAnsi="Times New Roman"/>
          <w:sz w:val="24"/>
          <w:szCs w:val="24"/>
        </w:rPr>
        <w:t>,</w:t>
      </w:r>
      <w:r w:rsidR="00FA70AE" w:rsidRPr="00B47801">
        <w:rPr>
          <w:rFonts w:ascii="Times New Roman" w:hAnsi="Times New Roman"/>
          <w:sz w:val="24"/>
          <w:szCs w:val="24"/>
        </w:rPr>
        <w:t xml:space="preserve"> </w:t>
      </w:r>
      <w:r w:rsidR="00773F57" w:rsidRPr="00B47801">
        <w:rPr>
          <w:rFonts w:ascii="Times New Roman" w:hAnsi="Times New Roman"/>
          <w:sz w:val="24"/>
          <w:szCs w:val="24"/>
        </w:rPr>
        <w:t xml:space="preserve">podendo </w:t>
      </w:r>
      <w:r w:rsidR="00FA70AE" w:rsidRPr="00B47801">
        <w:rPr>
          <w:rFonts w:ascii="Times New Roman" w:hAnsi="Times New Roman"/>
          <w:sz w:val="24"/>
          <w:szCs w:val="24"/>
        </w:rPr>
        <w:t xml:space="preserve">ter contribuído para a </w:t>
      </w:r>
      <w:r w:rsidR="004E0B22">
        <w:rPr>
          <w:rFonts w:ascii="Times New Roman" w:hAnsi="Times New Roman"/>
          <w:sz w:val="24"/>
          <w:szCs w:val="24"/>
        </w:rPr>
        <w:t xml:space="preserve">redução </w:t>
      </w:r>
      <w:r w:rsidR="008F349B" w:rsidRPr="00B47801">
        <w:rPr>
          <w:rFonts w:ascii="Times New Roman" w:hAnsi="Times New Roman"/>
          <w:sz w:val="24"/>
          <w:szCs w:val="24"/>
        </w:rPr>
        <w:t xml:space="preserve">da </w:t>
      </w:r>
      <w:r w:rsidR="004E0B22">
        <w:rPr>
          <w:rFonts w:ascii="Times New Roman" w:hAnsi="Times New Roman"/>
          <w:sz w:val="24"/>
          <w:szCs w:val="24"/>
        </w:rPr>
        <w:t xml:space="preserve">categoria </w:t>
      </w:r>
      <w:r w:rsidR="008F349B" w:rsidRPr="00B47801">
        <w:rPr>
          <w:rFonts w:ascii="Times New Roman" w:hAnsi="Times New Roman"/>
          <w:sz w:val="24"/>
          <w:szCs w:val="24"/>
        </w:rPr>
        <w:t xml:space="preserve">RNAG durante a primeira metade do século XIX, </w:t>
      </w:r>
      <w:r w:rsidR="00253383" w:rsidRPr="00B47801">
        <w:rPr>
          <w:rFonts w:ascii="Times New Roman" w:hAnsi="Times New Roman"/>
          <w:sz w:val="24"/>
          <w:szCs w:val="24"/>
        </w:rPr>
        <w:t xml:space="preserve">não </w:t>
      </w:r>
      <w:r w:rsidR="008F349B" w:rsidRPr="00B47801">
        <w:rPr>
          <w:rFonts w:ascii="Times New Roman" w:hAnsi="Times New Roman"/>
          <w:sz w:val="24"/>
          <w:szCs w:val="24"/>
        </w:rPr>
        <w:t xml:space="preserve">explica a dimensão </w:t>
      </w:r>
      <w:r w:rsidR="00943636" w:rsidRPr="00B47801">
        <w:rPr>
          <w:rFonts w:ascii="Times New Roman" w:hAnsi="Times New Roman"/>
          <w:sz w:val="24"/>
          <w:szCs w:val="24"/>
        </w:rPr>
        <w:t xml:space="preserve">do </w:t>
      </w:r>
      <w:r w:rsidR="008F349B" w:rsidRPr="00B47801">
        <w:rPr>
          <w:rFonts w:ascii="Times New Roman" w:hAnsi="Times New Roman"/>
          <w:sz w:val="24"/>
          <w:szCs w:val="24"/>
        </w:rPr>
        <w:t>recuo</w:t>
      </w:r>
      <w:r w:rsidR="005F5064">
        <w:rPr>
          <w:rFonts w:ascii="Times New Roman" w:hAnsi="Times New Roman"/>
          <w:sz w:val="24"/>
          <w:szCs w:val="24"/>
        </w:rPr>
        <w:t>, nem a sua cronologia</w:t>
      </w:r>
      <w:r w:rsidR="008F349B" w:rsidRPr="00B47801">
        <w:rPr>
          <w:rFonts w:ascii="Times New Roman" w:hAnsi="Times New Roman"/>
          <w:sz w:val="24"/>
          <w:szCs w:val="24"/>
        </w:rPr>
        <w:t xml:space="preserve">.  </w:t>
      </w:r>
    </w:p>
    <w:p w14:paraId="77D44191" w14:textId="745DEB58" w:rsidR="00A7156A" w:rsidRPr="00B47801" w:rsidRDefault="008F349B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 literatura não deteta, </w:t>
      </w:r>
      <w:r w:rsidR="00253383" w:rsidRPr="00B47801">
        <w:rPr>
          <w:rFonts w:ascii="Times New Roman" w:hAnsi="Times New Roman"/>
          <w:sz w:val="24"/>
          <w:szCs w:val="24"/>
        </w:rPr>
        <w:t>aliás</w:t>
      </w:r>
      <w:r w:rsidR="00773F57" w:rsidRPr="00B47801">
        <w:rPr>
          <w:rFonts w:ascii="Times New Roman" w:hAnsi="Times New Roman"/>
          <w:sz w:val="24"/>
          <w:szCs w:val="24"/>
        </w:rPr>
        <w:t xml:space="preserve"> – </w:t>
      </w:r>
      <w:r w:rsidR="00253383" w:rsidRPr="00B47801">
        <w:rPr>
          <w:rFonts w:ascii="Times New Roman" w:hAnsi="Times New Roman"/>
          <w:sz w:val="24"/>
          <w:szCs w:val="24"/>
        </w:rPr>
        <w:t>com exceção da sericultura transmontana (Sousa 1978)</w:t>
      </w:r>
      <w:r w:rsidR="00773F57" w:rsidRPr="00B47801">
        <w:rPr>
          <w:rFonts w:ascii="Times New Roman" w:hAnsi="Times New Roman"/>
          <w:sz w:val="24"/>
          <w:szCs w:val="24"/>
        </w:rPr>
        <w:t xml:space="preserve"> – </w:t>
      </w:r>
      <w:r w:rsidR="00253383" w:rsidRPr="00B47801">
        <w:rPr>
          <w:rFonts w:ascii="Times New Roman" w:hAnsi="Times New Roman"/>
          <w:sz w:val="24"/>
          <w:szCs w:val="24"/>
        </w:rPr>
        <w:t xml:space="preserve"> </w:t>
      </w:r>
      <w:r w:rsidRPr="00B47801">
        <w:rPr>
          <w:rFonts w:ascii="Times New Roman" w:hAnsi="Times New Roman"/>
          <w:sz w:val="24"/>
          <w:szCs w:val="24"/>
        </w:rPr>
        <w:t>uma retração generalizada da produção têxtil</w:t>
      </w:r>
      <w:r w:rsidR="00253383" w:rsidRPr="00B47801">
        <w:rPr>
          <w:rFonts w:ascii="Times New Roman" w:hAnsi="Times New Roman"/>
          <w:sz w:val="24"/>
          <w:szCs w:val="24"/>
        </w:rPr>
        <w:t xml:space="preserve"> fora dos centros urbanos no início do século XIX</w:t>
      </w:r>
      <w:r w:rsidR="00692560" w:rsidRPr="00B47801">
        <w:rPr>
          <w:rFonts w:ascii="Times New Roman" w:hAnsi="Times New Roman"/>
          <w:sz w:val="24"/>
          <w:szCs w:val="24"/>
        </w:rPr>
        <w:t xml:space="preserve">. </w:t>
      </w:r>
      <w:r w:rsidR="00A7156A" w:rsidRPr="00B47801">
        <w:rPr>
          <w:rFonts w:ascii="Times New Roman" w:hAnsi="Times New Roman"/>
          <w:sz w:val="24"/>
          <w:szCs w:val="24"/>
        </w:rPr>
        <w:t>Pelo contrário, a indústria doméstica ligada à produção do linho no Minho, e de lã na Beira, manteve um implantação regional muito importante</w:t>
      </w:r>
      <w:r w:rsidR="00692560" w:rsidRPr="00B47801">
        <w:rPr>
          <w:rFonts w:ascii="Times New Roman" w:hAnsi="Times New Roman"/>
          <w:sz w:val="24"/>
          <w:szCs w:val="24"/>
        </w:rPr>
        <w:t xml:space="preserve"> (Pedreira 1987, 580)</w:t>
      </w:r>
      <w:r w:rsidR="00A7156A" w:rsidRPr="00B47801">
        <w:rPr>
          <w:rFonts w:ascii="Times New Roman" w:hAnsi="Times New Roman"/>
          <w:sz w:val="24"/>
          <w:szCs w:val="24"/>
        </w:rPr>
        <w:t>. Pedreira (</w:t>
      </w:r>
      <w:r w:rsidR="0045030B" w:rsidRPr="00B47801">
        <w:rPr>
          <w:rFonts w:ascii="Times New Roman" w:hAnsi="Times New Roman"/>
          <w:sz w:val="24"/>
          <w:szCs w:val="24"/>
        </w:rPr>
        <w:t>1990</w:t>
      </w:r>
      <w:r w:rsidR="004E0B22">
        <w:rPr>
          <w:rFonts w:ascii="Times New Roman" w:hAnsi="Times New Roman"/>
          <w:sz w:val="24"/>
          <w:szCs w:val="24"/>
        </w:rPr>
        <w:t xml:space="preserve">, </w:t>
      </w:r>
      <w:r w:rsidR="004E0B22" w:rsidRPr="00B47801">
        <w:rPr>
          <w:rFonts w:ascii="Times New Roman" w:hAnsi="Times New Roman"/>
          <w:sz w:val="24"/>
          <w:szCs w:val="24"/>
        </w:rPr>
        <w:t>538-46</w:t>
      </w:r>
      <w:r w:rsidR="00A7156A" w:rsidRPr="00B47801">
        <w:rPr>
          <w:rFonts w:ascii="Times New Roman" w:hAnsi="Times New Roman"/>
          <w:sz w:val="24"/>
          <w:szCs w:val="24"/>
        </w:rPr>
        <w:t xml:space="preserve">) </w:t>
      </w:r>
      <w:r w:rsidR="00692560" w:rsidRPr="00B47801">
        <w:rPr>
          <w:rFonts w:ascii="Times New Roman" w:hAnsi="Times New Roman"/>
          <w:sz w:val="24"/>
          <w:szCs w:val="24"/>
        </w:rPr>
        <w:t>associa</w:t>
      </w:r>
      <w:r w:rsidR="0045030B" w:rsidRPr="00B47801">
        <w:rPr>
          <w:rFonts w:ascii="Times New Roman" w:hAnsi="Times New Roman"/>
          <w:sz w:val="24"/>
          <w:szCs w:val="24"/>
        </w:rPr>
        <w:t xml:space="preserve"> </w:t>
      </w:r>
      <w:r w:rsidR="00253383" w:rsidRPr="00B47801">
        <w:rPr>
          <w:rFonts w:ascii="Times New Roman" w:hAnsi="Times New Roman"/>
          <w:sz w:val="24"/>
          <w:szCs w:val="24"/>
        </w:rPr>
        <w:t xml:space="preserve">a persistência desses modos de produção, dirigidos </w:t>
      </w:r>
      <w:r w:rsidR="009807C2" w:rsidRPr="00B47801">
        <w:rPr>
          <w:rFonts w:ascii="Times New Roman" w:hAnsi="Times New Roman"/>
          <w:sz w:val="24"/>
          <w:szCs w:val="24"/>
        </w:rPr>
        <w:t xml:space="preserve">essencialmente </w:t>
      </w:r>
      <w:r w:rsidR="00253383" w:rsidRPr="00B47801">
        <w:rPr>
          <w:rFonts w:ascii="Times New Roman" w:hAnsi="Times New Roman"/>
          <w:sz w:val="24"/>
          <w:szCs w:val="24"/>
        </w:rPr>
        <w:lastRenderedPageBreak/>
        <w:t>para o mercado interno, a</w:t>
      </w:r>
      <w:r w:rsidR="00A7156A" w:rsidRPr="00B47801">
        <w:rPr>
          <w:rFonts w:ascii="Times New Roman" w:hAnsi="Times New Roman"/>
          <w:sz w:val="24"/>
          <w:szCs w:val="24"/>
        </w:rPr>
        <w:t xml:space="preserve">o atraso no desenvolvimento industrial. Em geral, foi essa produção rural que </w:t>
      </w:r>
      <w:r w:rsidR="004E0B22">
        <w:rPr>
          <w:rFonts w:ascii="Times New Roman" w:hAnsi="Times New Roman"/>
          <w:sz w:val="24"/>
          <w:szCs w:val="24"/>
        </w:rPr>
        <w:t>«</w:t>
      </w:r>
      <w:r w:rsidR="00A7156A" w:rsidRPr="00B47801">
        <w:rPr>
          <w:rFonts w:ascii="Times New Roman" w:hAnsi="Times New Roman"/>
          <w:sz w:val="24"/>
          <w:szCs w:val="24"/>
        </w:rPr>
        <w:t xml:space="preserve">exibia uma invejável flexibilidade, </w:t>
      </w:r>
      <w:r w:rsidR="004E0B22">
        <w:rPr>
          <w:rFonts w:ascii="Times New Roman" w:hAnsi="Times New Roman"/>
          <w:sz w:val="24"/>
          <w:szCs w:val="24"/>
        </w:rPr>
        <w:t xml:space="preserve">e </w:t>
      </w:r>
      <w:r w:rsidR="00A7156A" w:rsidRPr="00B47801">
        <w:rPr>
          <w:rFonts w:ascii="Times New Roman" w:hAnsi="Times New Roman"/>
          <w:sz w:val="24"/>
          <w:szCs w:val="24"/>
        </w:rPr>
        <w:t>uma extraordinária capacidade de adaptação</w:t>
      </w:r>
      <w:r w:rsidR="004E0B22">
        <w:rPr>
          <w:rFonts w:ascii="Times New Roman" w:hAnsi="Times New Roman"/>
          <w:sz w:val="24"/>
          <w:szCs w:val="24"/>
        </w:rPr>
        <w:t>»</w:t>
      </w:r>
      <w:r w:rsidR="00A7156A" w:rsidRPr="00B47801">
        <w:rPr>
          <w:rFonts w:ascii="Times New Roman" w:hAnsi="Times New Roman"/>
          <w:sz w:val="24"/>
          <w:szCs w:val="24"/>
        </w:rPr>
        <w:t xml:space="preserve"> que melhor resistiu ao quadro de rotura do Pacto Colonial e aumento de competição da manufaturas estrangeiras. </w:t>
      </w:r>
    </w:p>
    <w:p w14:paraId="2F4AE593" w14:textId="77777777" w:rsidR="000D274C" w:rsidRPr="007C6C88" w:rsidRDefault="000D274C" w:rsidP="00B309A0">
      <w:pPr>
        <w:ind w:firstLine="142"/>
        <w:rPr>
          <w:rFonts w:ascii="Times New Roman" w:hAnsi="Times New Roman"/>
          <w:sz w:val="22"/>
          <w:szCs w:val="22"/>
        </w:rPr>
      </w:pPr>
    </w:p>
    <w:p w14:paraId="02045E09" w14:textId="5BE2F60E" w:rsidR="00917C3E" w:rsidRPr="00B47801" w:rsidRDefault="00917C3E" w:rsidP="00730434">
      <w:pPr>
        <w:pStyle w:val="Heading1"/>
      </w:pPr>
      <w:bookmarkStart w:id="23" w:name="_Toc137755371"/>
      <w:r w:rsidRPr="00B47801">
        <w:t>Conclusão</w:t>
      </w:r>
      <w:bookmarkEnd w:id="23"/>
      <w:r w:rsidRPr="00B47801">
        <w:t xml:space="preserve"> </w:t>
      </w:r>
    </w:p>
    <w:p w14:paraId="491A70F7" w14:textId="6129B13E" w:rsidR="008D558E" w:rsidRPr="00B47801" w:rsidRDefault="00B8242E" w:rsidP="008906F1">
      <w:pPr>
        <w:tabs>
          <w:tab w:val="left" w:pos="5103"/>
        </w:tabs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 </w:t>
      </w:r>
      <w:r w:rsidR="00BE33FB" w:rsidRPr="00B47801">
        <w:rPr>
          <w:rFonts w:ascii="Times New Roman" w:hAnsi="Times New Roman"/>
          <w:sz w:val="24"/>
          <w:szCs w:val="24"/>
        </w:rPr>
        <w:t xml:space="preserve">série de PIB pc construída por </w:t>
      </w:r>
      <w:r w:rsidRPr="00B47801">
        <w:rPr>
          <w:rFonts w:ascii="Times New Roman" w:hAnsi="Times New Roman"/>
          <w:sz w:val="24"/>
          <w:szCs w:val="24"/>
        </w:rPr>
        <w:t xml:space="preserve">Palma &amp; Reis (2019) </w:t>
      </w:r>
      <w:r w:rsidR="003B52A7" w:rsidRPr="00B47801">
        <w:rPr>
          <w:rFonts w:ascii="Times New Roman" w:hAnsi="Times New Roman"/>
          <w:sz w:val="24"/>
          <w:szCs w:val="24"/>
        </w:rPr>
        <w:t xml:space="preserve">indica um periodificação muito clara do desempenho económico português: crescimento pré-pré-industrial muito significativo entre 1600 e 1750, seguido de uma </w:t>
      </w:r>
      <w:r w:rsidR="001506AC" w:rsidRPr="00B47801">
        <w:rPr>
          <w:rFonts w:ascii="Times New Roman" w:hAnsi="Times New Roman"/>
          <w:sz w:val="24"/>
          <w:szCs w:val="24"/>
        </w:rPr>
        <w:t xml:space="preserve">tendência geral de declínio até 1850. </w:t>
      </w:r>
      <w:r w:rsidR="008D558E" w:rsidRPr="00B47801">
        <w:rPr>
          <w:rFonts w:ascii="Times New Roman" w:hAnsi="Times New Roman"/>
          <w:sz w:val="24"/>
          <w:szCs w:val="24"/>
        </w:rPr>
        <w:t xml:space="preserve">Este trabalho procurou </w:t>
      </w:r>
      <w:r w:rsidR="00791496" w:rsidRPr="00B47801">
        <w:rPr>
          <w:rFonts w:ascii="Times New Roman" w:hAnsi="Times New Roman"/>
          <w:sz w:val="24"/>
          <w:szCs w:val="24"/>
        </w:rPr>
        <w:t xml:space="preserve">sondar </w:t>
      </w:r>
      <w:r w:rsidR="008D558E" w:rsidRPr="00B47801">
        <w:rPr>
          <w:rFonts w:ascii="Times New Roman" w:hAnsi="Times New Roman"/>
          <w:sz w:val="24"/>
          <w:szCs w:val="24"/>
        </w:rPr>
        <w:t>os mecanismos que intervieram na formação destes dois períodos</w:t>
      </w:r>
      <w:r w:rsidR="00791496" w:rsidRPr="00B47801">
        <w:rPr>
          <w:rFonts w:ascii="Times New Roman" w:hAnsi="Times New Roman"/>
          <w:sz w:val="24"/>
          <w:szCs w:val="24"/>
        </w:rPr>
        <w:t xml:space="preserve"> distintos</w:t>
      </w:r>
      <w:r w:rsidR="000F77CA" w:rsidRPr="00B47801">
        <w:rPr>
          <w:rFonts w:ascii="Times New Roman" w:hAnsi="Times New Roman"/>
          <w:sz w:val="24"/>
          <w:szCs w:val="24"/>
        </w:rPr>
        <w:t xml:space="preserve">, </w:t>
      </w:r>
      <w:r w:rsidR="008D558E" w:rsidRPr="00B47801">
        <w:rPr>
          <w:rFonts w:ascii="Times New Roman" w:hAnsi="Times New Roman"/>
          <w:sz w:val="24"/>
          <w:szCs w:val="24"/>
        </w:rPr>
        <w:t xml:space="preserve">aprofundando </w:t>
      </w:r>
      <w:r w:rsidR="00791496" w:rsidRPr="00B47801">
        <w:rPr>
          <w:rFonts w:ascii="Times New Roman" w:hAnsi="Times New Roman"/>
          <w:sz w:val="24"/>
          <w:szCs w:val="24"/>
        </w:rPr>
        <w:t xml:space="preserve">a abordagem metodológica </w:t>
      </w:r>
      <w:r w:rsidR="000F77CA" w:rsidRPr="00B47801">
        <w:rPr>
          <w:rFonts w:ascii="Times New Roman" w:hAnsi="Times New Roman"/>
          <w:sz w:val="24"/>
          <w:szCs w:val="24"/>
        </w:rPr>
        <w:t xml:space="preserve">seguida </w:t>
      </w:r>
      <w:r w:rsidR="00791496" w:rsidRPr="00B47801">
        <w:rPr>
          <w:rFonts w:ascii="Times New Roman" w:hAnsi="Times New Roman"/>
          <w:sz w:val="24"/>
          <w:szCs w:val="24"/>
        </w:rPr>
        <w:t>por Palma &amp; Reis (2019)</w:t>
      </w:r>
      <w:r w:rsidR="000F77CA" w:rsidRPr="00B47801">
        <w:rPr>
          <w:rFonts w:ascii="Times New Roman" w:hAnsi="Times New Roman"/>
          <w:sz w:val="24"/>
          <w:szCs w:val="24"/>
        </w:rPr>
        <w:t xml:space="preserve"> ao nível da construção do ISR</w:t>
      </w:r>
      <w:r w:rsidR="005F5064">
        <w:rPr>
          <w:rFonts w:ascii="Times New Roman" w:hAnsi="Times New Roman"/>
          <w:sz w:val="24"/>
          <w:szCs w:val="24"/>
        </w:rPr>
        <w:t xml:space="preserve"> e do PIB.</w:t>
      </w:r>
      <w:r w:rsidR="000F77CA" w:rsidRPr="00B47801">
        <w:rPr>
          <w:rFonts w:ascii="Times New Roman" w:hAnsi="Times New Roman"/>
          <w:sz w:val="24"/>
          <w:szCs w:val="24"/>
        </w:rPr>
        <w:t xml:space="preserve"> </w:t>
      </w:r>
    </w:p>
    <w:p w14:paraId="7149835B" w14:textId="27CA057E" w:rsidR="00DB1617" w:rsidRPr="00B47801" w:rsidRDefault="000F77CA" w:rsidP="008906F1">
      <w:pPr>
        <w:tabs>
          <w:tab w:val="left" w:pos="5103"/>
        </w:tabs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Dessa análise </w:t>
      </w:r>
      <w:r w:rsidR="00B309A0">
        <w:rPr>
          <w:rFonts w:ascii="Times New Roman" w:hAnsi="Times New Roman"/>
          <w:sz w:val="24"/>
          <w:szCs w:val="24"/>
        </w:rPr>
        <w:t xml:space="preserve">pode-se concluir </w:t>
      </w:r>
      <w:r w:rsidR="003C1CC3" w:rsidRPr="00B47801">
        <w:rPr>
          <w:rFonts w:ascii="Times New Roman" w:hAnsi="Times New Roman"/>
          <w:sz w:val="24"/>
          <w:szCs w:val="24"/>
        </w:rPr>
        <w:t xml:space="preserve">que a atividade económica rural desligada da agricultura teve um </w:t>
      </w:r>
      <w:r w:rsidRPr="00B47801">
        <w:rPr>
          <w:rFonts w:ascii="Times New Roman" w:hAnsi="Times New Roman"/>
          <w:sz w:val="24"/>
          <w:szCs w:val="24"/>
        </w:rPr>
        <w:t xml:space="preserve">papel determinante no </w:t>
      </w:r>
      <w:r w:rsidR="005327D5" w:rsidRPr="00B47801">
        <w:rPr>
          <w:rFonts w:ascii="Times New Roman" w:hAnsi="Times New Roman"/>
          <w:sz w:val="24"/>
          <w:szCs w:val="24"/>
        </w:rPr>
        <w:t xml:space="preserve">crescimento económico até c. 1750: cerca </w:t>
      </w:r>
      <w:r w:rsidRPr="00B47801">
        <w:rPr>
          <w:rFonts w:ascii="Times New Roman" w:hAnsi="Times New Roman"/>
          <w:sz w:val="24"/>
          <w:szCs w:val="24"/>
        </w:rPr>
        <w:t>de metade d</w:t>
      </w:r>
      <w:r w:rsidR="005327D5" w:rsidRPr="00B47801">
        <w:rPr>
          <w:rFonts w:ascii="Times New Roman" w:hAnsi="Times New Roman"/>
          <w:sz w:val="24"/>
          <w:szCs w:val="24"/>
        </w:rPr>
        <w:t>esse</w:t>
      </w:r>
      <w:r w:rsidRPr="00B47801">
        <w:rPr>
          <w:rFonts w:ascii="Times New Roman" w:hAnsi="Times New Roman"/>
          <w:sz w:val="24"/>
          <w:szCs w:val="24"/>
        </w:rPr>
        <w:t xml:space="preserve"> crescimento</w:t>
      </w:r>
      <w:r w:rsidR="005327D5" w:rsidRPr="00B47801">
        <w:rPr>
          <w:rFonts w:ascii="Times New Roman" w:hAnsi="Times New Roman"/>
          <w:sz w:val="24"/>
          <w:szCs w:val="24"/>
        </w:rPr>
        <w:t xml:space="preserve"> pode ser atribuído </w:t>
      </w:r>
      <w:r w:rsidR="005F5064">
        <w:rPr>
          <w:rFonts w:ascii="Times New Roman" w:hAnsi="Times New Roman"/>
          <w:sz w:val="24"/>
          <w:szCs w:val="24"/>
        </w:rPr>
        <w:t>à categoria RNAG</w:t>
      </w:r>
      <w:r w:rsidR="005327D5" w:rsidRPr="00B47801">
        <w:rPr>
          <w:rFonts w:ascii="Times New Roman" w:hAnsi="Times New Roman"/>
          <w:sz w:val="24"/>
          <w:szCs w:val="24"/>
        </w:rPr>
        <w:t xml:space="preserve">. A meio do século XVIII, o contributo </w:t>
      </w:r>
      <w:r w:rsidR="005F5064">
        <w:rPr>
          <w:rFonts w:ascii="Times New Roman" w:hAnsi="Times New Roman"/>
          <w:sz w:val="24"/>
          <w:szCs w:val="24"/>
        </w:rPr>
        <w:t xml:space="preserve">essa </w:t>
      </w:r>
      <w:r w:rsidR="005327D5" w:rsidRPr="00B47801">
        <w:rPr>
          <w:rFonts w:ascii="Times New Roman" w:hAnsi="Times New Roman"/>
          <w:sz w:val="24"/>
          <w:szCs w:val="24"/>
        </w:rPr>
        <w:t xml:space="preserve">categoria profissional era apenas marginalmente inferior ao da categoria </w:t>
      </w:r>
      <w:r w:rsidR="005F5064">
        <w:rPr>
          <w:rFonts w:ascii="Times New Roman" w:hAnsi="Times New Roman"/>
          <w:sz w:val="24"/>
          <w:szCs w:val="24"/>
        </w:rPr>
        <w:t>A</w:t>
      </w:r>
      <w:r w:rsidR="005327D5" w:rsidRPr="00B47801">
        <w:rPr>
          <w:rFonts w:ascii="Times New Roman" w:hAnsi="Times New Roman"/>
          <w:sz w:val="24"/>
          <w:szCs w:val="24"/>
        </w:rPr>
        <w:t>grícola</w:t>
      </w:r>
      <w:r w:rsidR="00F535A2" w:rsidRPr="00B47801">
        <w:rPr>
          <w:rFonts w:ascii="Times New Roman" w:hAnsi="Times New Roman"/>
          <w:sz w:val="24"/>
          <w:szCs w:val="24"/>
        </w:rPr>
        <w:t xml:space="preserve"> e o PAB correspondia apenas a 38% do PIB.</w:t>
      </w:r>
      <w:r w:rsidR="005327D5" w:rsidRPr="00B47801">
        <w:rPr>
          <w:rFonts w:ascii="Times New Roman" w:hAnsi="Times New Roman"/>
          <w:sz w:val="24"/>
          <w:szCs w:val="24"/>
        </w:rPr>
        <w:t xml:space="preserve"> A evolução </w:t>
      </w:r>
      <w:r w:rsidR="005F5064">
        <w:rPr>
          <w:rFonts w:ascii="Times New Roman" w:hAnsi="Times New Roman"/>
          <w:sz w:val="24"/>
          <w:szCs w:val="24"/>
        </w:rPr>
        <w:t>do setor agrícola foi determinante para esse movimento de recomposição setorial</w:t>
      </w:r>
      <w:r w:rsidR="00B309A0">
        <w:rPr>
          <w:rFonts w:ascii="Times New Roman" w:hAnsi="Times New Roman"/>
          <w:sz w:val="24"/>
          <w:szCs w:val="24"/>
        </w:rPr>
        <w:t>, com</w:t>
      </w:r>
      <w:r w:rsidR="005F5064">
        <w:rPr>
          <w:rFonts w:ascii="Times New Roman" w:hAnsi="Times New Roman"/>
          <w:sz w:val="24"/>
          <w:szCs w:val="24"/>
        </w:rPr>
        <w:t xml:space="preserve"> </w:t>
      </w:r>
      <w:r w:rsidR="00D44965" w:rsidRPr="00B47801">
        <w:rPr>
          <w:rFonts w:ascii="Times New Roman" w:hAnsi="Times New Roman"/>
          <w:sz w:val="24"/>
          <w:szCs w:val="24"/>
        </w:rPr>
        <w:t xml:space="preserve">o aumento da produtividade agrícola </w:t>
      </w:r>
      <w:r w:rsidR="003C1CC3" w:rsidRPr="00B47801">
        <w:rPr>
          <w:rFonts w:ascii="Times New Roman" w:hAnsi="Times New Roman"/>
          <w:sz w:val="24"/>
          <w:szCs w:val="24"/>
        </w:rPr>
        <w:t xml:space="preserve">nesse período </w:t>
      </w:r>
      <w:r w:rsidR="00F535A2" w:rsidRPr="00B47801">
        <w:rPr>
          <w:rFonts w:ascii="Times New Roman" w:hAnsi="Times New Roman"/>
          <w:sz w:val="24"/>
          <w:szCs w:val="24"/>
        </w:rPr>
        <w:t xml:space="preserve">(+69%) </w:t>
      </w:r>
      <w:r w:rsidR="00B309A0">
        <w:rPr>
          <w:rFonts w:ascii="Times New Roman" w:hAnsi="Times New Roman"/>
          <w:sz w:val="24"/>
          <w:szCs w:val="24"/>
        </w:rPr>
        <w:t xml:space="preserve">a permitir </w:t>
      </w:r>
      <w:r w:rsidR="00F535A2" w:rsidRPr="00B47801">
        <w:rPr>
          <w:rFonts w:ascii="Times New Roman" w:hAnsi="Times New Roman"/>
          <w:sz w:val="24"/>
          <w:szCs w:val="24"/>
        </w:rPr>
        <w:t xml:space="preserve">a realocação de mão-de-obra </w:t>
      </w:r>
      <w:r w:rsidR="00B309A0">
        <w:rPr>
          <w:rFonts w:ascii="Times New Roman" w:hAnsi="Times New Roman"/>
          <w:sz w:val="24"/>
          <w:szCs w:val="24"/>
        </w:rPr>
        <w:t xml:space="preserve">agrícola </w:t>
      </w:r>
      <w:r w:rsidR="00DB1617" w:rsidRPr="00B47801">
        <w:rPr>
          <w:rFonts w:ascii="Times New Roman" w:hAnsi="Times New Roman"/>
          <w:sz w:val="24"/>
          <w:szCs w:val="24"/>
        </w:rPr>
        <w:t xml:space="preserve">para </w:t>
      </w:r>
      <w:r w:rsidR="00F535A2" w:rsidRPr="00B47801">
        <w:rPr>
          <w:rFonts w:ascii="Times New Roman" w:hAnsi="Times New Roman"/>
          <w:sz w:val="24"/>
          <w:szCs w:val="24"/>
        </w:rPr>
        <w:t>atividades de maior valor acrescentado</w:t>
      </w:r>
      <w:r w:rsidR="005F5064">
        <w:rPr>
          <w:rFonts w:ascii="Times New Roman" w:hAnsi="Times New Roman"/>
          <w:sz w:val="24"/>
          <w:szCs w:val="24"/>
        </w:rPr>
        <w:t xml:space="preserve"> – primeiro para a categoria RNAG e, posteriormente, para a Urbana. </w:t>
      </w:r>
    </w:p>
    <w:p w14:paraId="3AEDB1A9" w14:textId="1EF82525" w:rsidR="00883782" w:rsidRPr="00B47801" w:rsidRDefault="00E234AA" w:rsidP="008906F1">
      <w:pPr>
        <w:tabs>
          <w:tab w:val="left" w:pos="5103"/>
        </w:tabs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Esta </w:t>
      </w:r>
      <w:r w:rsidR="005F5064">
        <w:rPr>
          <w:rFonts w:ascii="Times New Roman" w:hAnsi="Times New Roman"/>
          <w:sz w:val="24"/>
          <w:szCs w:val="24"/>
        </w:rPr>
        <w:t xml:space="preserve">estrutura </w:t>
      </w:r>
      <w:r w:rsidR="00883782" w:rsidRPr="00B47801">
        <w:rPr>
          <w:rFonts w:ascii="Times New Roman" w:hAnsi="Times New Roman"/>
          <w:sz w:val="24"/>
          <w:szCs w:val="24"/>
        </w:rPr>
        <w:t xml:space="preserve">ocupacional </w:t>
      </w:r>
      <w:r w:rsidR="00DB1617" w:rsidRPr="00B47801">
        <w:rPr>
          <w:rFonts w:ascii="Times New Roman" w:hAnsi="Times New Roman"/>
          <w:sz w:val="24"/>
          <w:szCs w:val="24"/>
        </w:rPr>
        <w:t xml:space="preserve">da população </w:t>
      </w:r>
      <w:r w:rsidR="009C65F4">
        <w:rPr>
          <w:rFonts w:ascii="Times New Roman" w:hAnsi="Times New Roman"/>
          <w:sz w:val="24"/>
          <w:szCs w:val="24"/>
        </w:rPr>
        <w:t xml:space="preserve">não registou alterações significativas </w:t>
      </w:r>
      <w:r w:rsidRPr="00B47801">
        <w:rPr>
          <w:rFonts w:ascii="Times New Roman" w:hAnsi="Times New Roman"/>
          <w:sz w:val="24"/>
          <w:szCs w:val="24"/>
        </w:rPr>
        <w:t xml:space="preserve">até </w:t>
      </w:r>
      <w:r w:rsidR="009C65F4">
        <w:rPr>
          <w:rFonts w:ascii="Times New Roman" w:hAnsi="Times New Roman"/>
          <w:sz w:val="24"/>
          <w:szCs w:val="24"/>
        </w:rPr>
        <w:t>ao início do século XIX</w:t>
      </w:r>
      <w:r w:rsidR="003C1CC3" w:rsidRPr="00B47801">
        <w:rPr>
          <w:rFonts w:ascii="Times New Roman" w:hAnsi="Times New Roman"/>
          <w:sz w:val="24"/>
          <w:szCs w:val="24"/>
        </w:rPr>
        <w:t xml:space="preserve">, </w:t>
      </w:r>
      <w:r w:rsidR="00B309A0">
        <w:rPr>
          <w:rFonts w:ascii="Times New Roman" w:hAnsi="Times New Roman"/>
          <w:sz w:val="24"/>
          <w:szCs w:val="24"/>
        </w:rPr>
        <w:t xml:space="preserve">não </w:t>
      </w:r>
      <w:r w:rsidR="009C65F4">
        <w:rPr>
          <w:rFonts w:ascii="Times New Roman" w:hAnsi="Times New Roman"/>
          <w:sz w:val="24"/>
          <w:szCs w:val="24"/>
        </w:rPr>
        <w:t>se traduzindo</w:t>
      </w:r>
      <w:r w:rsidR="00B309A0">
        <w:rPr>
          <w:rFonts w:ascii="Times New Roman" w:hAnsi="Times New Roman"/>
          <w:sz w:val="24"/>
          <w:szCs w:val="24"/>
        </w:rPr>
        <w:t xml:space="preserve">, </w:t>
      </w:r>
      <w:r w:rsidR="009C65F4">
        <w:rPr>
          <w:rFonts w:ascii="Times New Roman" w:hAnsi="Times New Roman"/>
          <w:sz w:val="24"/>
          <w:szCs w:val="24"/>
        </w:rPr>
        <w:t>porém</w:t>
      </w:r>
      <w:r w:rsidR="00B309A0">
        <w:rPr>
          <w:rFonts w:ascii="Times New Roman" w:hAnsi="Times New Roman"/>
          <w:sz w:val="24"/>
          <w:szCs w:val="24"/>
        </w:rPr>
        <w:t xml:space="preserve">, </w:t>
      </w:r>
      <w:r w:rsidR="009C65F4">
        <w:rPr>
          <w:rFonts w:ascii="Times New Roman" w:hAnsi="Times New Roman"/>
          <w:sz w:val="24"/>
          <w:szCs w:val="24"/>
        </w:rPr>
        <w:t xml:space="preserve">em </w:t>
      </w:r>
      <w:r w:rsidR="00B309A0">
        <w:rPr>
          <w:rFonts w:ascii="Times New Roman" w:hAnsi="Times New Roman"/>
          <w:sz w:val="24"/>
          <w:szCs w:val="24"/>
        </w:rPr>
        <w:t xml:space="preserve">qualquer </w:t>
      </w:r>
      <w:r w:rsidR="003C1CC3" w:rsidRPr="00B47801">
        <w:rPr>
          <w:rFonts w:ascii="Times New Roman" w:hAnsi="Times New Roman"/>
          <w:sz w:val="24"/>
          <w:szCs w:val="24"/>
        </w:rPr>
        <w:t>crescimento económico</w:t>
      </w:r>
      <w:r w:rsidR="009C65F4">
        <w:rPr>
          <w:rFonts w:ascii="Times New Roman" w:hAnsi="Times New Roman"/>
          <w:sz w:val="24"/>
          <w:szCs w:val="24"/>
        </w:rPr>
        <w:t xml:space="preserve"> – antes pelo contrário, </w:t>
      </w:r>
      <w:r w:rsidR="003C1CC3" w:rsidRPr="00B47801">
        <w:rPr>
          <w:rFonts w:ascii="Times New Roman" w:hAnsi="Times New Roman"/>
          <w:sz w:val="24"/>
          <w:szCs w:val="24"/>
        </w:rPr>
        <w:t xml:space="preserve">a partir do último </w:t>
      </w:r>
      <w:r w:rsidRPr="00B47801">
        <w:rPr>
          <w:rFonts w:ascii="Times New Roman" w:hAnsi="Times New Roman"/>
          <w:sz w:val="24"/>
          <w:szCs w:val="24"/>
        </w:rPr>
        <w:t>quartel do século XVIII</w:t>
      </w:r>
      <w:r w:rsidR="009C65F4">
        <w:rPr>
          <w:rFonts w:ascii="Times New Roman" w:hAnsi="Times New Roman"/>
          <w:sz w:val="24"/>
          <w:szCs w:val="24"/>
        </w:rPr>
        <w:t xml:space="preserve"> inicia-se um </w:t>
      </w:r>
      <w:r w:rsidR="003C1CC3" w:rsidRPr="00B47801">
        <w:rPr>
          <w:rFonts w:ascii="Times New Roman" w:hAnsi="Times New Roman"/>
          <w:sz w:val="24"/>
          <w:szCs w:val="24"/>
        </w:rPr>
        <w:t xml:space="preserve">declínio acentuado. </w:t>
      </w:r>
      <w:r w:rsidR="009C65F4">
        <w:rPr>
          <w:rFonts w:ascii="Times New Roman" w:hAnsi="Times New Roman"/>
          <w:sz w:val="24"/>
          <w:szCs w:val="24"/>
        </w:rPr>
        <w:t xml:space="preserve">A morfologia da expansão e do declínio económico nesse período apresentaram, assim, características diferentes. </w:t>
      </w:r>
      <w:r w:rsidR="00883782" w:rsidRPr="00B47801">
        <w:rPr>
          <w:rFonts w:ascii="Times New Roman" w:hAnsi="Times New Roman"/>
          <w:sz w:val="24"/>
          <w:szCs w:val="24"/>
        </w:rPr>
        <w:t xml:space="preserve">Se o </w:t>
      </w:r>
      <w:r w:rsidR="009C65F4">
        <w:rPr>
          <w:rFonts w:ascii="Times New Roman" w:hAnsi="Times New Roman"/>
          <w:sz w:val="24"/>
          <w:szCs w:val="24"/>
        </w:rPr>
        <w:t xml:space="preserve">crescimento até 1750 decorreu apenas parcialmente do </w:t>
      </w:r>
      <w:r w:rsidR="009C65F4">
        <w:rPr>
          <w:rFonts w:ascii="Times New Roman" w:hAnsi="Times New Roman"/>
          <w:sz w:val="24"/>
          <w:szCs w:val="24"/>
        </w:rPr>
        <w:lastRenderedPageBreak/>
        <w:t xml:space="preserve">aumento do nível dos salários (55%) </w:t>
      </w:r>
      <w:r w:rsidR="00584F1D">
        <w:rPr>
          <w:rFonts w:ascii="Times New Roman" w:hAnsi="Times New Roman"/>
          <w:sz w:val="24"/>
          <w:szCs w:val="24"/>
        </w:rPr>
        <w:t xml:space="preserve">– estando associado </w:t>
      </w:r>
      <w:r w:rsidR="009C65F4">
        <w:rPr>
          <w:rFonts w:ascii="Times New Roman" w:hAnsi="Times New Roman"/>
          <w:sz w:val="24"/>
          <w:szCs w:val="24"/>
        </w:rPr>
        <w:t xml:space="preserve">a alterações estruturais nos meios de produção </w:t>
      </w:r>
      <w:r w:rsidR="00584F1D">
        <w:rPr>
          <w:rFonts w:ascii="Times New Roman" w:hAnsi="Times New Roman"/>
          <w:sz w:val="24"/>
          <w:szCs w:val="24"/>
        </w:rPr>
        <w:t xml:space="preserve">– </w:t>
      </w:r>
      <w:r w:rsidR="00883782" w:rsidRPr="00B47801">
        <w:rPr>
          <w:rFonts w:ascii="Times New Roman" w:hAnsi="Times New Roman"/>
          <w:sz w:val="24"/>
          <w:szCs w:val="24"/>
        </w:rPr>
        <w:t xml:space="preserve">o período entre 1750 e 1800 foi de declínio ‘extensivo’, inteiramente mobilizado pela queda dos salários – em grande medida, </w:t>
      </w:r>
      <w:r w:rsidR="00584F1D">
        <w:rPr>
          <w:rFonts w:ascii="Times New Roman" w:hAnsi="Times New Roman"/>
          <w:sz w:val="24"/>
          <w:szCs w:val="24"/>
        </w:rPr>
        <w:t xml:space="preserve">pelo efeito da </w:t>
      </w:r>
      <w:r w:rsidR="00883782" w:rsidRPr="00B47801">
        <w:rPr>
          <w:rFonts w:ascii="Times New Roman" w:hAnsi="Times New Roman"/>
          <w:sz w:val="24"/>
          <w:szCs w:val="24"/>
        </w:rPr>
        <w:t>inflação</w:t>
      </w:r>
      <w:r w:rsidR="00584F1D">
        <w:rPr>
          <w:rFonts w:ascii="Times New Roman" w:hAnsi="Times New Roman"/>
          <w:sz w:val="24"/>
          <w:szCs w:val="24"/>
        </w:rPr>
        <w:t xml:space="preserve"> nos salários reais</w:t>
      </w:r>
      <w:r w:rsidR="00883782" w:rsidRPr="00B47801">
        <w:rPr>
          <w:rFonts w:ascii="Times New Roman" w:hAnsi="Times New Roman"/>
          <w:sz w:val="24"/>
          <w:szCs w:val="24"/>
        </w:rPr>
        <w:t xml:space="preserve">. </w:t>
      </w:r>
    </w:p>
    <w:p w14:paraId="3F127B23" w14:textId="4129F102" w:rsidR="0015302E" w:rsidRPr="00B47801" w:rsidRDefault="00DB1617" w:rsidP="008906F1">
      <w:pPr>
        <w:tabs>
          <w:tab w:val="left" w:pos="5103"/>
        </w:tabs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Na viragem para o século XIX, inicia-se um </w:t>
      </w:r>
      <w:r w:rsidR="00883782" w:rsidRPr="00B47801">
        <w:rPr>
          <w:rFonts w:ascii="Times New Roman" w:hAnsi="Times New Roman"/>
          <w:sz w:val="24"/>
          <w:szCs w:val="24"/>
        </w:rPr>
        <w:t xml:space="preserve">movimento de recomposição </w:t>
      </w:r>
      <w:r w:rsidRPr="00B47801">
        <w:rPr>
          <w:rFonts w:ascii="Times New Roman" w:hAnsi="Times New Roman"/>
          <w:sz w:val="24"/>
          <w:szCs w:val="24"/>
        </w:rPr>
        <w:t>da estrutura ocupacional</w:t>
      </w:r>
      <w:r w:rsidR="00883782" w:rsidRPr="00B47801">
        <w:rPr>
          <w:rFonts w:ascii="Times New Roman" w:hAnsi="Times New Roman"/>
          <w:sz w:val="24"/>
          <w:szCs w:val="24"/>
        </w:rPr>
        <w:t xml:space="preserve">. Entre 1800 e 1850, o peso relativo da categoria RNAG reduz-se de 29% para 16%, com impacto </w:t>
      </w:r>
      <w:r w:rsidRPr="00B47801">
        <w:rPr>
          <w:rFonts w:ascii="Times New Roman" w:hAnsi="Times New Roman"/>
          <w:sz w:val="24"/>
          <w:szCs w:val="24"/>
        </w:rPr>
        <w:t xml:space="preserve">queda da </w:t>
      </w:r>
      <w:r w:rsidR="00883782" w:rsidRPr="00B47801">
        <w:rPr>
          <w:rFonts w:ascii="Times New Roman" w:hAnsi="Times New Roman"/>
          <w:sz w:val="24"/>
          <w:szCs w:val="24"/>
        </w:rPr>
        <w:t xml:space="preserve">contribuição para a formação do ISR (de 34% para 22%). Esta redução traduziu-se num aumento significativo da categoria </w:t>
      </w:r>
      <w:r w:rsidRPr="00B47801">
        <w:rPr>
          <w:rFonts w:ascii="Times New Roman" w:hAnsi="Times New Roman"/>
          <w:sz w:val="24"/>
          <w:szCs w:val="24"/>
        </w:rPr>
        <w:t xml:space="preserve">profissional </w:t>
      </w:r>
      <w:r w:rsidR="00883782" w:rsidRPr="00B47801">
        <w:rPr>
          <w:rFonts w:ascii="Times New Roman" w:hAnsi="Times New Roman"/>
          <w:sz w:val="24"/>
          <w:szCs w:val="24"/>
        </w:rPr>
        <w:t>agrícola</w:t>
      </w:r>
      <w:r w:rsidR="0015302E" w:rsidRPr="00B47801">
        <w:rPr>
          <w:rFonts w:ascii="Times New Roman" w:hAnsi="Times New Roman"/>
          <w:sz w:val="24"/>
          <w:szCs w:val="24"/>
        </w:rPr>
        <w:t>, mantendo-se estável a taxa de urbanização</w:t>
      </w:r>
      <w:r w:rsidR="00883782" w:rsidRPr="00B47801">
        <w:rPr>
          <w:rFonts w:ascii="Times New Roman" w:hAnsi="Times New Roman"/>
          <w:sz w:val="24"/>
          <w:szCs w:val="24"/>
        </w:rPr>
        <w:t xml:space="preserve">: em 1850, 2/3 da população dedicava-se à agricultura, o que compara com 55% em 1800. Ou seja, ocorreu um movimento inverso ao </w:t>
      </w:r>
      <w:r w:rsidR="0015302E" w:rsidRPr="00B47801">
        <w:rPr>
          <w:rFonts w:ascii="Times New Roman" w:hAnsi="Times New Roman"/>
          <w:sz w:val="24"/>
          <w:szCs w:val="24"/>
        </w:rPr>
        <w:t>sucedido no século XVII. Não se tratou, portanto, de uma ruralização da economia, antes uma involução económica do meio rural. Em resultado, o PAB registou um crescimento</w:t>
      </w:r>
      <w:r w:rsidR="00D0385E">
        <w:rPr>
          <w:rFonts w:ascii="Times New Roman" w:hAnsi="Times New Roman"/>
          <w:sz w:val="24"/>
          <w:szCs w:val="24"/>
        </w:rPr>
        <w:t xml:space="preserve"> expressivo</w:t>
      </w:r>
      <w:r w:rsidR="0015302E" w:rsidRPr="00B47801">
        <w:rPr>
          <w:rFonts w:ascii="Times New Roman" w:hAnsi="Times New Roman"/>
          <w:sz w:val="24"/>
          <w:szCs w:val="24"/>
        </w:rPr>
        <w:t xml:space="preserve">, </w:t>
      </w:r>
      <w:r w:rsidRPr="00B47801">
        <w:rPr>
          <w:rFonts w:ascii="Times New Roman" w:hAnsi="Times New Roman"/>
          <w:sz w:val="24"/>
          <w:szCs w:val="24"/>
        </w:rPr>
        <w:t xml:space="preserve">representando </w:t>
      </w:r>
      <w:r w:rsidR="0015302E" w:rsidRPr="00B47801">
        <w:rPr>
          <w:rFonts w:ascii="Times New Roman" w:hAnsi="Times New Roman"/>
          <w:sz w:val="24"/>
          <w:szCs w:val="24"/>
        </w:rPr>
        <w:t>47% do PIB</w:t>
      </w:r>
      <w:r w:rsidRPr="00B47801">
        <w:rPr>
          <w:rFonts w:ascii="Times New Roman" w:hAnsi="Times New Roman"/>
          <w:sz w:val="24"/>
          <w:szCs w:val="24"/>
        </w:rPr>
        <w:t xml:space="preserve"> em 1850</w:t>
      </w:r>
      <w:r w:rsidR="0015302E" w:rsidRPr="00B47801">
        <w:rPr>
          <w:rFonts w:ascii="Times New Roman" w:hAnsi="Times New Roman"/>
          <w:sz w:val="24"/>
          <w:szCs w:val="24"/>
        </w:rPr>
        <w:t xml:space="preserve">. Este crescimento foi de natureza </w:t>
      </w:r>
      <w:r w:rsidR="00584F1D">
        <w:rPr>
          <w:rFonts w:ascii="Times New Roman" w:hAnsi="Times New Roman"/>
          <w:sz w:val="24"/>
          <w:szCs w:val="24"/>
        </w:rPr>
        <w:t>‘</w:t>
      </w:r>
      <w:r w:rsidR="0015302E" w:rsidRPr="00B47801">
        <w:rPr>
          <w:rFonts w:ascii="Times New Roman" w:hAnsi="Times New Roman"/>
          <w:sz w:val="24"/>
          <w:szCs w:val="24"/>
        </w:rPr>
        <w:t>extensiva</w:t>
      </w:r>
      <w:r w:rsidR="00584F1D">
        <w:rPr>
          <w:rFonts w:ascii="Times New Roman" w:hAnsi="Times New Roman"/>
          <w:sz w:val="24"/>
          <w:szCs w:val="24"/>
        </w:rPr>
        <w:t>’</w:t>
      </w:r>
      <w:r w:rsidR="0015302E" w:rsidRPr="00B47801">
        <w:rPr>
          <w:rFonts w:ascii="Times New Roman" w:hAnsi="Times New Roman"/>
          <w:sz w:val="24"/>
          <w:szCs w:val="24"/>
        </w:rPr>
        <w:t xml:space="preserve">, </w:t>
      </w:r>
      <w:r w:rsidR="00584F1D">
        <w:rPr>
          <w:rFonts w:ascii="Times New Roman" w:hAnsi="Times New Roman"/>
          <w:sz w:val="24"/>
          <w:szCs w:val="24"/>
        </w:rPr>
        <w:t xml:space="preserve">tendo associado </w:t>
      </w:r>
      <w:r w:rsidR="0015302E" w:rsidRPr="00B47801">
        <w:rPr>
          <w:rFonts w:ascii="Times New Roman" w:hAnsi="Times New Roman"/>
          <w:sz w:val="24"/>
          <w:szCs w:val="24"/>
        </w:rPr>
        <w:t xml:space="preserve">um nível de produtividade da mão-de-obra </w:t>
      </w:r>
      <w:r w:rsidR="00DE3552">
        <w:rPr>
          <w:rFonts w:ascii="Times New Roman" w:hAnsi="Times New Roman"/>
          <w:sz w:val="24"/>
          <w:szCs w:val="24"/>
        </w:rPr>
        <w:t>3</w:t>
      </w:r>
      <w:r w:rsidR="0015302E" w:rsidRPr="00B47801">
        <w:rPr>
          <w:rFonts w:ascii="Times New Roman" w:hAnsi="Times New Roman"/>
          <w:sz w:val="24"/>
          <w:szCs w:val="24"/>
        </w:rPr>
        <w:t xml:space="preserve">0% inferior ao registado em c. 1750. </w:t>
      </w:r>
    </w:p>
    <w:p w14:paraId="5E20E478" w14:textId="46CBF361" w:rsidR="008D558E" w:rsidRDefault="00DB1617" w:rsidP="00D0385E">
      <w:pPr>
        <w:tabs>
          <w:tab w:val="left" w:pos="5103"/>
        </w:tabs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 importância da categoria profissional RNAG na </w:t>
      </w:r>
      <w:r w:rsidR="0015302E" w:rsidRPr="00B47801">
        <w:rPr>
          <w:rFonts w:ascii="Times New Roman" w:hAnsi="Times New Roman"/>
          <w:sz w:val="24"/>
          <w:szCs w:val="24"/>
        </w:rPr>
        <w:t>composição</w:t>
      </w:r>
      <w:r w:rsidRPr="00B47801">
        <w:rPr>
          <w:rFonts w:ascii="Times New Roman" w:hAnsi="Times New Roman"/>
          <w:sz w:val="24"/>
          <w:szCs w:val="24"/>
        </w:rPr>
        <w:t xml:space="preserve"> </w:t>
      </w:r>
      <w:r w:rsidR="0015302E" w:rsidRPr="00B47801">
        <w:rPr>
          <w:rFonts w:ascii="Times New Roman" w:hAnsi="Times New Roman"/>
          <w:sz w:val="24"/>
          <w:szCs w:val="24"/>
        </w:rPr>
        <w:t xml:space="preserve">do PIB e do ISR </w:t>
      </w:r>
      <w:r w:rsidRPr="00B47801">
        <w:rPr>
          <w:rFonts w:ascii="Times New Roman" w:hAnsi="Times New Roman"/>
          <w:sz w:val="24"/>
          <w:szCs w:val="24"/>
        </w:rPr>
        <w:t xml:space="preserve">ao longo desta cronologia </w:t>
      </w:r>
      <w:r w:rsidR="0015302E" w:rsidRPr="00B47801">
        <w:rPr>
          <w:rFonts w:ascii="Times New Roman" w:hAnsi="Times New Roman"/>
          <w:sz w:val="24"/>
          <w:szCs w:val="24"/>
        </w:rPr>
        <w:t xml:space="preserve">levanta algumas questões </w:t>
      </w:r>
      <w:r w:rsidR="00D0385E">
        <w:rPr>
          <w:rFonts w:ascii="Times New Roman" w:hAnsi="Times New Roman"/>
          <w:sz w:val="24"/>
          <w:szCs w:val="24"/>
        </w:rPr>
        <w:t xml:space="preserve">metodológicas </w:t>
      </w:r>
      <w:r w:rsidR="0015302E" w:rsidRPr="00B47801">
        <w:rPr>
          <w:rFonts w:ascii="Times New Roman" w:hAnsi="Times New Roman"/>
          <w:sz w:val="24"/>
          <w:szCs w:val="24"/>
        </w:rPr>
        <w:t xml:space="preserve">importantes </w:t>
      </w:r>
      <w:r w:rsidRPr="00B47801">
        <w:rPr>
          <w:rFonts w:ascii="Times New Roman" w:hAnsi="Times New Roman"/>
          <w:sz w:val="24"/>
          <w:szCs w:val="24"/>
        </w:rPr>
        <w:t>relativamente aos períodos de expansão e declínio</w:t>
      </w:r>
      <w:r w:rsidR="00662CED">
        <w:rPr>
          <w:rFonts w:ascii="Times New Roman" w:hAnsi="Times New Roman"/>
          <w:sz w:val="24"/>
          <w:szCs w:val="24"/>
        </w:rPr>
        <w:t xml:space="preserve"> identificados</w:t>
      </w:r>
      <w:r w:rsidRPr="00B47801">
        <w:rPr>
          <w:rFonts w:ascii="Times New Roman" w:hAnsi="Times New Roman"/>
          <w:sz w:val="24"/>
          <w:szCs w:val="24"/>
        </w:rPr>
        <w:t>. Em relação ao primeiro,</w:t>
      </w:r>
      <w:r w:rsidR="00D0385E">
        <w:rPr>
          <w:rFonts w:ascii="Times New Roman" w:hAnsi="Times New Roman"/>
          <w:sz w:val="24"/>
          <w:szCs w:val="24"/>
        </w:rPr>
        <w:t xml:space="preserve"> </w:t>
      </w:r>
      <w:r w:rsidRPr="00B47801">
        <w:rPr>
          <w:rFonts w:ascii="Times New Roman" w:hAnsi="Times New Roman"/>
          <w:sz w:val="24"/>
          <w:szCs w:val="24"/>
        </w:rPr>
        <w:t>uma averiguação preliminar das fontes não permite discernir</w:t>
      </w:r>
      <w:r w:rsidR="005F05DC" w:rsidRPr="00B47801">
        <w:rPr>
          <w:rFonts w:ascii="Times New Roman" w:hAnsi="Times New Roman"/>
          <w:sz w:val="24"/>
          <w:szCs w:val="24"/>
        </w:rPr>
        <w:t>, ao certo, de que forma se concretizou o crescimento da importância da categoria RNAG na economia</w:t>
      </w:r>
      <w:r w:rsidR="00D0385E">
        <w:rPr>
          <w:rFonts w:ascii="Times New Roman" w:hAnsi="Times New Roman"/>
          <w:sz w:val="24"/>
          <w:szCs w:val="24"/>
        </w:rPr>
        <w:t xml:space="preserve"> ou avaliar a intensidade desse crescimento. </w:t>
      </w:r>
      <w:r w:rsidR="005F05DC" w:rsidRPr="00B47801">
        <w:rPr>
          <w:rFonts w:ascii="Times New Roman" w:hAnsi="Times New Roman"/>
          <w:sz w:val="24"/>
          <w:szCs w:val="24"/>
        </w:rPr>
        <w:t xml:space="preserve">Em relação ao segundo, um exercício aproximado do impacto da perda do mercado colonial na indústria rural não parece explicar o declínio desse setor no século XIX. </w:t>
      </w:r>
      <w:r w:rsidR="00E70C36" w:rsidRPr="00B47801">
        <w:rPr>
          <w:rFonts w:ascii="Times New Roman" w:hAnsi="Times New Roman"/>
          <w:sz w:val="24"/>
          <w:szCs w:val="24"/>
        </w:rPr>
        <w:t>Estas</w:t>
      </w:r>
      <w:r w:rsidR="005F05DC" w:rsidRPr="00B47801">
        <w:rPr>
          <w:rFonts w:ascii="Times New Roman" w:hAnsi="Times New Roman"/>
          <w:sz w:val="24"/>
          <w:szCs w:val="24"/>
        </w:rPr>
        <w:t xml:space="preserve"> são algumas das questões deixadas em aberto e </w:t>
      </w:r>
      <w:r w:rsidR="00E70C36" w:rsidRPr="00B47801">
        <w:rPr>
          <w:rFonts w:ascii="Times New Roman" w:hAnsi="Times New Roman"/>
          <w:sz w:val="24"/>
          <w:szCs w:val="24"/>
        </w:rPr>
        <w:t xml:space="preserve">cujo interesse justifica </w:t>
      </w:r>
      <w:r w:rsidR="005F05DC" w:rsidRPr="00B47801">
        <w:rPr>
          <w:rFonts w:ascii="Times New Roman" w:hAnsi="Times New Roman"/>
          <w:sz w:val="24"/>
          <w:szCs w:val="24"/>
        </w:rPr>
        <w:t xml:space="preserve">aprofundar </w:t>
      </w:r>
      <w:r w:rsidR="00E70C36" w:rsidRPr="00B47801">
        <w:rPr>
          <w:rFonts w:ascii="Times New Roman" w:hAnsi="Times New Roman"/>
          <w:sz w:val="24"/>
          <w:szCs w:val="24"/>
        </w:rPr>
        <w:t xml:space="preserve">em </w:t>
      </w:r>
      <w:r w:rsidR="005F05DC" w:rsidRPr="00B47801">
        <w:rPr>
          <w:rFonts w:ascii="Times New Roman" w:hAnsi="Times New Roman"/>
          <w:sz w:val="24"/>
          <w:szCs w:val="24"/>
        </w:rPr>
        <w:t>investigaç</w:t>
      </w:r>
      <w:r w:rsidR="00E70C36" w:rsidRPr="00B47801">
        <w:rPr>
          <w:rFonts w:ascii="Times New Roman" w:hAnsi="Times New Roman"/>
          <w:sz w:val="24"/>
          <w:szCs w:val="24"/>
        </w:rPr>
        <w:t>ões</w:t>
      </w:r>
      <w:r w:rsidR="005F05DC" w:rsidRPr="00B47801">
        <w:rPr>
          <w:rFonts w:ascii="Times New Roman" w:hAnsi="Times New Roman"/>
          <w:sz w:val="24"/>
          <w:szCs w:val="24"/>
        </w:rPr>
        <w:t xml:space="preserve"> futura</w:t>
      </w:r>
      <w:r w:rsidR="00E70C36" w:rsidRPr="00B47801">
        <w:rPr>
          <w:rFonts w:ascii="Times New Roman" w:hAnsi="Times New Roman"/>
          <w:sz w:val="24"/>
          <w:szCs w:val="24"/>
        </w:rPr>
        <w:t>s</w:t>
      </w:r>
      <w:r w:rsidR="005F05DC" w:rsidRPr="00B47801">
        <w:rPr>
          <w:rFonts w:ascii="Times New Roman" w:hAnsi="Times New Roman"/>
          <w:sz w:val="24"/>
          <w:szCs w:val="24"/>
        </w:rPr>
        <w:t>.</w:t>
      </w:r>
    </w:p>
    <w:p w14:paraId="2B906A57" w14:textId="629ECC02" w:rsidR="00B47801" w:rsidRDefault="00B47801" w:rsidP="008906F1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C87E76" w14:textId="57A6BD1C" w:rsidR="009573AC" w:rsidRPr="00B47801" w:rsidRDefault="009573AC" w:rsidP="00730434">
      <w:pPr>
        <w:pStyle w:val="Heading1"/>
      </w:pPr>
      <w:bookmarkStart w:id="24" w:name="_Toc137755372"/>
      <w:r w:rsidRPr="00B47801">
        <w:lastRenderedPageBreak/>
        <w:t>Anexos</w:t>
      </w:r>
      <w:bookmarkEnd w:id="24"/>
    </w:p>
    <w:p w14:paraId="7A5EF9E2" w14:textId="2237EF76" w:rsidR="009573AC" w:rsidRPr="00B47801" w:rsidRDefault="009573AC" w:rsidP="00730434">
      <w:pPr>
        <w:pStyle w:val="Heading1"/>
        <w:numPr>
          <w:ilvl w:val="1"/>
          <w:numId w:val="35"/>
        </w:numPr>
      </w:pPr>
      <w:bookmarkStart w:id="25" w:name="_Ref133316196"/>
      <w:bookmarkStart w:id="26" w:name="_Toc137755373"/>
      <w:r w:rsidRPr="00B47801">
        <w:t>Anexo I: Variação da Estrutura Ocupacional da População</w:t>
      </w:r>
      <w:bookmarkEnd w:id="25"/>
      <w:bookmarkEnd w:id="26"/>
      <w:r w:rsidRPr="00B47801">
        <w:t xml:space="preserve"> </w:t>
      </w:r>
    </w:p>
    <w:p w14:paraId="3900D0D4" w14:textId="52E0FF3D" w:rsidR="00BA7383" w:rsidRDefault="00BA7383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 determinação da série de valores de PAB através da expressão </w:t>
      </w:r>
      <w:r w:rsidR="009B64AE" w:rsidRPr="00B47801">
        <w:rPr>
          <w:rFonts w:ascii="Times New Roman" w:hAnsi="Times New Roman"/>
          <w:sz w:val="24"/>
          <w:szCs w:val="24"/>
        </w:rPr>
        <w:t>3</w:t>
      </w:r>
      <w:r w:rsidRPr="00B47801">
        <w:rPr>
          <w:rFonts w:ascii="Times New Roman" w:hAnsi="Times New Roman"/>
          <w:sz w:val="24"/>
          <w:szCs w:val="24"/>
        </w:rPr>
        <w:t xml:space="preserve">), apresentada em </w:t>
      </w:r>
      <w:r w:rsidR="005551A9" w:rsidRPr="00B47801">
        <w:rPr>
          <w:rFonts w:ascii="Times New Roman" w:hAnsi="Times New Roman"/>
          <w:sz w:val="24"/>
          <w:szCs w:val="24"/>
        </w:rPr>
        <w:fldChar w:fldCharType="begin"/>
      </w:r>
      <w:r w:rsidR="005551A9" w:rsidRPr="00B47801">
        <w:rPr>
          <w:rFonts w:ascii="Times New Roman" w:hAnsi="Times New Roman"/>
          <w:sz w:val="24"/>
          <w:szCs w:val="24"/>
        </w:rPr>
        <w:instrText xml:space="preserve"> REF _Ref133245649 \r \h </w:instrText>
      </w:r>
      <w:r w:rsidR="00DC2034" w:rsidRPr="00B47801">
        <w:rPr>
          <w:rFonts w:ascii="Times New Roman" w:hAnsi="Times New Roman"/>
          <w:sz w:val="24"/>
          <w:szCs w:val="24"/>
        </w:rPr>
        <w:instrText xml:space="preserve"> \* MERGEFORMAT </w:instrText>
      </w:r>
      <w:r w:rsidR="005551A9" w:rsidRPr="00B47801">
        <w:rPr>
          <w:rFonts w:ascii="Times New Roman" w:hAnsi="Times New Roman"/>
          <w:sz w:val="24"/>
          <w:szCs w:val="24"/>
        </w:rPr>
      </w:r>
      <w:r w:rsidR="005551A9" w:rsidRPr="00B47801">
        <w:rPr>
          <w:rFonts w:ascii="Times New Roman" w:hAnsi="Times New Roman"/>
          <w:sz w:val="24"/>
          <w:szCs w:val="24"/>
        </w:rPr>
        <w:fldChar w:fldCharType="separate"/>
      </w:r>
      <w:r w:rsidR="00F535A2" w:rsidRPr="00B47801">
        <w:rPr>
          <w:rFonts w:ascii="Times New Roman" w:hAnsi="Times New Roman"/>
          <w:sz w:val="24"/>
          <w:szCs w:val="24"/>
        </w:rPr>
        <w:t>2.1</w:t>
      </w:r>
      <w:r w:rsidR="005551A9" w:rsidRPr="00B47801">
        <w:rPr>
          <w:rFonts w:ascii="Times New Roman" w:hAnsi="Times New Roman"/>
          <w:sz w:val="24"/>
          <w:szCs w:val="24"/>
        </w:rPr>
        <w:fldChar w:fldCharType="end"/>
      </w:r>
      <w:r w:rsidR="005551A9" w:rsidRPr="00B47801">
        <w:rPr>
          <w:rFonts w:ascii="Times New Roman" w:hAnsi="Times New Roman"/>
          <w:sz w:val="24"/>
          <w:szCs w:val="24"/>
        </w:rPr>
        <w:t xml:space="preserve">, </w:t>
      </w:r>
      <w:r w:rsidRPr="00B47801">
        <w:rPr>
          <w:rFonts w:ascii="Times New Roman" w:hAnsi="Times New Roman"/>
          <w:sz w:val="24"/>
          <w:szCs w:val="24"/>
        </w:rPr>
        <w:t xml:space="preserve">assim como uma análise mais aprofundada sobre a variação do </w:t>
      </w:r>
      <w:r w:rsidR="00A974EA" w:rsidRPr="00B47801">
        <w:rPr>
          <w:rFonts w:ascii="Times New Roman" w:hAnsi="Times New Roman"/>
          <w:sz w:val="24"/>
          <w:szCs w:val="24"/>
        </w:rPr>
        <w:t>ISR</w:t>
      </w:r>
      <w:r w:rsidRPr="00B47801">
        <w:rPr>
          <w:rFonts w:ascii="Times New Roman" w:hAnsi="Times New Roman"/>
          <w:sz w:val="24"/>
          <w:szCs w:val="24"/>
        </w:rPr>
        <w:t>, implica a estimativa da variação anual da estrutura ocupacional da população. Palma &amp; Reis apresentam essa variação apenas a cada meio século. Uma forma simples de obstar a esse obstáculo seria através da interpolação linear entre valores a cada meio século. Embora se tenha recorrido a essa abordagem entre certos intervalos cronológicos, procurou-se afinar essa variação tendo em conta os dados disponíveis sobre o comportamento da economia</w:t>
      </w:r>
      <w:r w:rsidR="00A974EA" w:rsidRPr="00B47801">
        <w:rPr>
          <w:rFonts w:ascii="Times New Roman" w:hAnsi="Times New Roman"/>
          <w:sz w:val="24"/>
          <w:szCs w:val="24"/>
        </w:rPr>
        <w:t xml:space="preserve"> e da população</w:t>
      </w:r>
      <w:r w:rsidRPr="00B47801">
        <w:rPr>
          <w:rFonts w:ascii="Times New Roman" w:hAnsi="Times New Roman"/>
          <w:sz w:val="24"/>
          <w:szCs w:val="24"/>
        </w:rPr>
        <w:t xml:space="preserve">, assumindo-se a população agrícola como uma variável de folga. Apresenta-se, na Tabela </w:t>
      </w:r>
      <w:r w:rsidR="007A49FF">
        <w:rPr>
          <w:rFonts w:ascii="Times New Roman" w:hAnsi="Times New Roman"/>
          <w:sz w:val="24"/>
          <w:szCs w:val="24"/>
        </w:rPr>
        <w:t>6</w:t>
      </w:r>
      <w:r w:rsidRPr="00B47801">
        <w:rPr>
          <w:rFonts w:ascii="Times New Roman" w:hAnsi="Times New Roman"/>
          <w:sz w:val="24"/>
          <w:szCs w:val="24"/>
        </w:rPr>
        <w:t xml:space="preserve">, os pressupostos assumidos. </w:t>
      </w:r>
    </w:p>
    <w:p w14:paraId="75A5AECF" w14:textId="77777777" w:rsidR="00EF11E1" w:rsidRPr="00B47801" w:rsidRDefault="00EF11E1" w:rsidP="009A3EEE">
      <w:pPr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14:paraId="65C9F708" w14:textId="3CAEB8E2" w:rsidR="009B64AE" w:rsidRPr="0084245A" w:rsidRDefault="009B64AE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84245A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84245A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84245A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84245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D722C6">
        <w:rPr>
          <w:rFonts w:ascii="Times New Roman" w:hAnsi="Times New Roman"/>
          <w:b/>
          <w:bCs/>
          <w:noProof/>
          <w:sz w:val="22"/>
          <w:szCs w:val="22"/>
        </w:rPr>
        <w:t>6</w:t>
      </w:r>
      <w:r w:rsidRPr="0084245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84245A">
        <w:rPr>
          <w:rFonts w:ascii="Times New Roman" w:hAnsi="Times New Roman"/>
          <w:b/>
          <w:bCs/>
          <w:sz w:val="22"/>
          <w:szCs w:val="22"/>
        </w:rPr>
        <w:t xml:space="preserve">: Critérios de Variação da Estrutura Ocupacional da População </w:t>
      </w:r>
    </w:p>
    <w:p w14:paraId="2304F083" w14:textId="394AD4E3" w:rsidR="00BA7383" w:rsidRPr="00B47801" w:rsidRDefault="009B64AE" w:rsidP="008906F1">
      <w:pPr>
        <w:spacing w:line="48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ACF4FC" wp14:editId="4E9FEA13">
            <wp:extent cx="3826800" cy="21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F991E" w14:textId="77777777" w:rsidR="00BA7383" w:rsidRPr="00B47801" w:rsidRDefault="00BA7383" w:rsidP="007A49FF">
      <w:pPr>
        <w:spacing w:line="276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14:paraId="068211DB" w14:textId="06ED8EE6" w:rsidR="00BA7383" w:rsidRPr="00B47801" w:rsidRDefault="00BA7383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Entre 1600 e 1650, a população </w:t>
      </w:r>
      <w:r w:rsidR="00A974EA" w:rsidRPr="00B47801">
        <w:rPr>
          <w:rFonts w:ascii="Times New Roman" w:hAnsi="Times New Roman"/>
          <w:sz w:val="24"/>
          <w:szCs w:val="24"/>
        </w:rPr>
        <w:t>U</w:t>
      </w:r>
      <w:r w:rsidRPr="00B47801">
        <w:rPr>
          <w:rFonts w:ascii="Times New Roman" w:hAnsi="Times New Roman"/>
          <w:sz w:val="24"/>
          <w:szCs w:val="24"/>
        </w:rPr>
        <w:t xml:space="preserve">rbana cresceu abaixo do ritmo da população, embora não </w:t>
      </w:r>
      <w:r w:rsidR="006D6AF7">
        <w:rPr>
          <w:rFonts w:ascii="Times New Roman" w:hAnsi="Times New Roman"/>
          <w:sz w:val="24"/>
          <w:szCs w:val="24"/>
        </w:rPr>
        <w:t>tenha contraído</w:t>
      </w:r>
      <w:r w:rsidRPr="00B47801">
        <w:rPr>
          <w:rFonts w:ascii="Times New Roman" w:hAnsi="Times New Roman"/>
          <w:sz w:val="24"/>
          <w:szCs w:val="24"/>
        </w:rPr>
        <w:t>. Pelo contrário, a população RNAG cresceu a um ritmo superior ao da população. Em ambos os casos, optou-se por utilizar uma interpolação linear entre os valores de 1600 e 1650</w:t>
      </w:r>
      <w:r w:rsidR="008660B8" w:rsidRPr="00B47801">
        <w:rPr>
          <w:rFonts w:ascii="Times New Roman" w:hAnsi="Times New Roman"/>
          <w:sz w:val="24"/>
          <w:szCs w:val="24"/>
        </w:rPr>
        <w:t>.</w:t>
      </w:r>
      <w:r w:rsidRPr="00B47801">
        <w:rPr>
          <w:rFonts w:ascii="Times New Roman" w:hAnsi="Times New Roman"/>
          <w:sz w:val="24"/>
          <w:szCs w:val="24"/>
        </w:rPr>
        <w:t xml:space="preserve"> Entre 1650-1700, a fração da população urbana manteve-se praticamente constante, pelo que se modelou a sua evolução em linha com a da população. Pelo contrário, </w:t>
      </w:r>
      <w:r w:rsidRPr="00B47801">
        <w:rPr>
          <w:rFonts w:ascii="Times New Roman" w:hAnsi="Times New Roman"/>
          <w:sz w:val="24"/>
          <w:szCs w:val="24"/>
        </w:rPr>
        <w:lastRenderedPageBreak/>
        <w:t xml:space="preserve">a população RNAG cresceu significativamente durante este período, passando de 23,9% para 28,6% da população total. </w:t>
      </w:r>
      <w:r w:rsidR="006D6AF7">
        <w:rPr>
          <w:rFonts w:ascii="Times New Roman" w:hAnsi="Times New Roman"/>
          <w:sz w:val="24"/>
          <w:szCs w:val="24"/>
        </w:rPr>
        <w:t xml:space="preserve">Assumiu-se </w:t>
      </w:r>
      <w:r w:rsidRPr="00B47801">
        <w:rPr>
          <w:rFonts w:ascii="Times New Roman" w:hAnsi="Times New Roman"/>
          <w:sz w:val="24"/>
          <w:szCs w:val="24"/>
        </w:rPr>
        <w:t xml:space="preserve">que </w:t>
      </w:r>
      <w:r w:rsidR="006D6AF7">
        <w:rPr>
          <w:rFonts w:ascii="Times New Roman" w:hAnsi="Times New Roman"/>
          <w:sz w:val="24"/>
          <w:szCs w:val="24"/>
        </w:rPr>
        <w:t xml:space="preserve">esse crescimento ocorreu de forma mais intensa </w:t>
      </w:r>
      <w:r w:rsidRPr="00B47801">
        <w:rPr>
          <w:rFonts w:ascii="Times New Roman" w:hAnsi="Times New Roman"/>
          <w:sz w:val="24"/>
          <w:szCs w:val="24"/>
        </w:rPr>
        <w:t xml:space="preserve">após o fim </w:t>
      </w:r>
      <w:r w:rsidR="006D6AF7">
        <w:rPr>
          <w:rFonts w:ascii="Times New Roman" w:hAnsi="Times New Roman"/>
          <w:sz w:val="24"/>
          <w:szCs w:val="24"/>
        </w:rPr>
        <w:t>d</w:t>
      </w:r>
      <w:r w:rsidRPr="00B47801">
        <w:rPr>
          <w:rFonts w:ascii="Times New Roman" w:hAnsi="Times New Roman"/>
          <w:sz w:val="24"/>
          <w:szCs w:val="24"/>
        </w:rPr>
        <w:t>as Guerras da Restauração</w:t>
      </w:r>
      <w:r w:rsidR="006D6AF7">
        <w:rPr>
          <w:rFonts w:ascii="Times New Roman" w:hAnsi="Times New Roman"/>
          <w:sz w:val="24"/>
          <w:szCs w:val="24"/>
        </w:rPr>
        <w:t>, ou seja, entre 1670-1700</w:t>
      </w:r>
      <w:r w:rsidR="00A974EA" w:rsidRPr="00B47801">
        <w:rPr>
          <w:rFonts w:ascii="Times New Roman" w:hAnsi="Times New Roman"/>
          <w:sz w:val="24"/>
          <w:szCs w:val="24"/>
        </w:rPr>
        <w:t xml:space="preserve">. </w:t>
      </w:r>
      <w:r w:rsidR="006D6AF7">
        <w:rPr>
          <w:rFonts w:ascii="Times New Roman" w:hAnsi="Times New Roman"/>
          <w:sz w:val="24"/>
          <w:szCs w:val="24"/>
        </w:rPr>
        <w:t xml:space="preserve">No período anterior (1650-1670) </w:t>
      </w:r>
      <w:r w:rsidR="00E77E53">
        <w:rPr>
          <w:rFonts w:ascii="Times New Roman" w:hAnsi="Times New Roman"/>
          <w:sz w:val="24"/>
          <w:szCs w:val="24"/>
        </w:rPr>
        <w:t xml:space="preserve">considerou-se que a população RNAG cresceu ao mesmo ritmo </w:t>
      </w:r>
      <w:r w:rsidRPr="00B47801">
        <w:rPr>
          <w:rFonts w:ascii="Times New Roman" w:hAnsi="Times New Roman"/>
          <w:sz w:val="24"/>
          <w:szCs w:val="24"/>
        </w:rPr>
        <w:t>da população</w:t>
      </w:r>
      <w:r w:rsidR="00A974EA" w:rsidRPr="00B47801">
        <w:rPr>
          <w:rFonts w:ascii="Times New Roman" w:hAnsi="Times New Roman"/>
          <w:sz w:val="24"/>
          <w:szCs w:val="24"/>
        </w:rPr>
        <w:t xml:space="preserve"> – mantendo-se</w:t>
      </w:r>
      <w:r w:rsidR="00E77E53">
        <w:rPr>
          <w:rFonts w:ascii="Times New Roman" w:hAnsi="Times New Roman"/>
          <w:sz w:val="24"/>
          <w:szCs w:val="24"/>
        </w:rPr>
        <w:t>, assim,</w:t>
      </w:r>
      <w:r w:rsidR="00A974EA" w:rsidRPr="00B47801">
        <w:rPr>
          <w:rFonts w:ascii="Times New Roman" w:hAnsi="Times New Roman"/>
          <w:sz w:val="24"/>
          <w:szCs w:val="24"/>
        </w:rPr>
        <w:t xml:space="preserve"> constante a sua fração relativa.</w:t>
      </w:r>
      <w:r w:rsidRPr="00B47801">
        <w:rPr>
          <w:rFonts w:ascii="Times New Roman" w:hAnsi="Times New Roman"/>
          <w:sz w:val="24"/>
          <w:szCs w:val="24"/>
        </w:rPr>
        <w:t xml:space="preserve"> De acordo com estas premissas, a população agrícola – que se reduziu em termos de fração da população – acompanhou a contração da população até 1670, retomando o crescimento entre 1670-1700, </w:t>
      </w:r>
      <w:r w:rsidR="00A974EA" w:rsidRPr="00B47801">
        <w:rPr>
          <w:rFonts w:ascii="Times New Roman" w:hAnsi="Times New Roman"/>
          <w:sz w:val="24"/>
          <w:szCs w:val="24"/>
        </w:rPr>
        <w:t xml:space="preserve">ainda que </w:t>
      </w:r>
      <w:r w:rsidRPr="00B47801">
        <w:rPr>
          <w:rFonts w:ascii="Times New Roman" w:hAnsi="Times New Roman"/>
          <w:sz w:val="24"/>
          <w:szCs w:val="24"/>
        </w:rPr>
        <w:t xml:space="preserve">a um ritmo inferior ao da população </w:t>
      </w:r>
      <w:r w:rsidR="00A974EA" w:rsidRPr="00B47801">
        <w:rPr>
          <w:rFonts w:ascii="Times New Roman" w:hAnsi="Times New Roman"/>
          <w:sz w:val="24"/>
          <w:szCs w:val="24"/>
        </w:rPr>
        <w:t>U</w:t>
      </w:r>
      <w:r w:rsidRPr="00B47801">
        <w:rPr>
          <w:rFonts w:ascii="Times New Roman" w:hAnsi="Times New Roman"/>
          <w:sz w:val="24"/>
          <w:szCs w:val="24"/>
        </w:rPr>
        <w:t xml:space="preserve">rbana e RNAG. </w:t>
      </w:r>
    </w:p>
    <w:p w14:paraId="46F3BF12" w14:textId="65AD6A97" w:rsidR="00BA7383" w:rsidRPr="00B47801" w:rsidRDefault="00BA7383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Entre 1700-1750, a população urbana regista um crescimento acentuado, elevando a taxa de urbanização de 12,5% para 17,3%. Como discutido anteriormente, o início do século XVIII foi </w:t>
      </w:r>
      <w:r w:rsidR="00E77E53">
        <w:rPr>
          <w:rFonts w:ascii="Times New Roman" w:hAnsi="Times New Roman"/>
          <w:sz w:val="24"/>
          <w:szCs w:val="24"/>
        </w:rPr>
        <w:t xml:space="preserve">marcado por uma retração </w:t>
      </w:r>
      <w:r w:rsidRPr="00B47801">
        <w:rPr>
          <w:rFonts w:ascii="Times New Roman" w:hAnsi="Times New Roman"/>
          <w:sz w:val="24"/>
          <w:szCs w:val="24"/>
        </w:rPr>
        <w:t xml:space="preserve">económica, pelo que se assumiu que, até 1715, a população urbana apenas acompanhou o crescimento da população. Desta forma, </w:t>
      </w:r>
      <w:r w:rsidR="00E77E53">
        <w:rPr>
          <w:rFonts w:ascii="Times New Roman" w:hAnsi="Times New Roman"/>
          <w:sz w:val="24"/>
          <w:szCs w:val="24"/>
        </w:rPr>
        <w:t xml:space="preserve">assumiu-se que </w:t>
      </w:r>
      <w:r w:rsidRPr="00B47801">
        <w:rPr>
          <w:rFonts w:ascii="Times New Roman" w:hAnsi="Times New Roman"/>
          <w:sz w:val="24"/>
          <w:szCs w:val="24"/>
        </w:rPr>
        <w:t xml:space="preserve">o aumento da taxa urbanização </w:t>
      </w:r>
      <w:r w:rsidR="00E77E53">
        <w:rPr>
          <w:rFonts w:ascii="Times New Roman" w:hAnsi="Times New Roman"/>
          <w:sz w:val="24"/>
          <w:szCs w:val="24"/>
        </w:rPr>
        <w:t xml:space="preserve">ocorreu </w:t>
      </w:r>
      <w:r w:rsidRPr="00B47801">
        <w:rPr>
          <w:rFonts w:ascii="Times New Roman" w:hAnsi="Times New Roman"/>
          <w:sz w:val="24"/>
          <w:szCs w:val="24"/>
        </w:rPr>
        <w:t>no período entre 1715-1750. A fração da população  RNAG aumentou apenas ligeiramente durante a primeira metade do século XVIII. Pelos mesmos motivos, concentrou-se o aumento do peso relativo desse segmento da população entre 1715-1750</w:t>
      </w:r>
      <w:r w:rsidR="00E77E53">
        <w:rPr>
          <w:rFonts w:ascii="Times New Roman" w:hAnsi="Times New Roman"/>
          <w:sz w:val="24"/>
          <w:szCs w:val="24"/>
        </w:rPr>
        <w:t xml:space="preserve">. Em resultado destas premissas, o declínio da população Agrícola </w:t>
      </w:r>
      <w:r w:rsidRPr="00B47801">
        <w:rPr>
          <w:rFonts w:ascii="Times New Roman" w:hAnsi="Times New Roman"/>
          <w:sz w:val="24"/>
          <w:szCs w:val="24"/>
        </w:rPr>
        <w:t>concentra</w:t>
      </w:r>
      <w:r w:rsidR="00E77E53">
        <w:rPr>
          <w:rFonts w:ascii="Times New Roman" w:hAnsi="Times New Roman"/>
          <w:sz w:val="24"/>
          <w:szCs w:val="24"/>
        </w:rPr>
        <w:t>-se</w:t>
      </w:r>
      <w:r w:rsidRPr="00B47801">
        <w:rPr>
          <w:rFonts w:ascii="Times New Roman" w:hAnsi="Times New Roman"/>
          <w:sz w:val="24"/>
          <w:szCs w:val="24"/>
        </w:rPr>
        <w:t xml:space="preserve"> </w:t>
      </w:r>
      <w:r w:rsidR="00E77E53">
        <w:rPr>
          <w:rFonts w:ascii="Times New Roman" w:hAnsi="Times New Roman"/>
          <w:sz w:val="24"/>
          <w:szCs w:val="24"/>
        </w:rPr>
        <w:t xml:space="preserve">no período </w:t>
      </w:r>
      <w:r w:rsidRPr="00B47801">
        <w:rPr>
          <w:rFonts w:ascii="Times New Roman" w:hAnsi="Times New Roman"/>
          <w:sz w:val="24"/>
          <w:szCs w:val="24"/>
        </w:rPr>
        <w:t xml:space="preserve">entre 1715-1750. </w:t>
      </w:r>
    </w:p>
    <w:p w14:paraId="0FF5FE71" w14:textId="243C4F77" w:rsidR="00BA7383" w:rsidRPr="00B47801" w:rsidRDefault="00BA7383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Na segunda metade dos Setecentos, a fração da população urbana reduziu-se ligeiramente. Considerando que, pelo menos até ao final do terceiro quartel, o PIB </w:t>
      </w:r>
      <w:r w:rsidR="00E77E53">
        <w:rPr>
          <w:rFonts w:ascii="Times New Roman" w:hAnsi="Times New Roman"/>
          <w:sz w:val="24"/>
          <w:szCs w:val="24"/>
        </w:rPr>
        <w:t>não contraiu</w:t>
      </w:r>
      <w:r w:rsidRPr="00B47801">
        <w:rPr>
          <w:rFonts w:ascii="Times New Roman" w:hAnsi="Times New Roman"/>
          <w:sz w:val="24"/>
          <w:szCs w:val="24"/>
        </w:rPr>
        <w:t xml:space="preserve">, concentrou-se o declínio percentual da população urbana apenas no último quartel do século, mantendo-se a taxa de urbanização constante no período anterior. A fração da população RNAG manteve-se, praticamente, inalterada entre 1750-1800, pelo que se considerou uma evolução linear ao longo de todo o período. Estas premissas implicam que o ritmo de crescimento população agrícola acelerou no último quartel do século.  </w:t>
      </w:r>
    </w:p>
    <w:p w14:paraId="6B2EF3EA" w14:textId="59327BA5" w:rsidR="00BA7383" w:rsidRDefault="00BA7383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lastRenderedPageBreak/>
        <w:t>Entre 1800-1850, as variações são mais irregulares. Os dados de Palma &amp; Reis indicam que a taxa de urbanização aumentou de 16,2% para 17,6%, o que, num contexto de aumento demográfico, significa um aumento da população urbana de cerca de 130 mil efetivos</w:t>
      </w:r>
      <w:r w:rsidR="009456B6">
        <w:rPr>
          <w:rFonts w:ascii="Times New Roman" w:hAnsi="Times New Roman"/>
          <w:sz w:val="24"/>
          <w:szCs w:val="24"/>
        </w:rPr>
        <w:t xml:space="preserve"> nesse período</w:t>
      </w:r>
      <w:r w:rsidRPr="00B47801">
        <w:rPr>
          <w:rFonts w:ascii="Times New Roman" w:hAnsi="Times New Roman"/>
          <w:sz w:val="24"/>
          <w:szCs w:val="24"/>
        </w:rPr>
        <w:t xml:space="preserve">. </w:t>
      </w:r>
      <w:r w:rsidR="009456B6">
        <w:rPr>
          <w:rFonts w:ascii="Times New Roman" w:hAnsi="Times New Roman"/>
          <w:sz w:val="24"/>
          <w:szCs w:val="24"/>
        </w:rPr>
        <w:t xml:space="preserve">Considerando a instabilidade política e militar, parece </w:t>
      </w:r>
      <w:r w:rsidR="00A974EA" w:rsidRPr="009456B6">
        <w:rPr>
          <w:rFonts w:ascii="Times New Roman" w:hAnsi="Times New Roman"/>
          <w:sz w:val="24"/>
          <w:szCs w:val="24"/>
        </w:rPr>
        <w:t>pouco plausível que a taxa de urbanização tenha aumentado nos primeiros 15 anos do século.</w:t>
      </w:r>
      <w:r w:rsidR="00A974EA" w:rsidRPr="00B47801">
        <w:rPr>
          <w:rFonts w:ascii="Times New Roman" w:hAnsi="Times New Roman"/>
          <w:sz w:val="24"/>
          <w:szCs w:val="24"/>
        </w:rPr>
        <w:t xml:space="preserve"> </w:t>
      </w:r>
      <w:r w:rsidR="00F56CF9" w:rsidRPr="00B47801">
        <w:rPr>
          <w:rFonts w:ascii="Times New Roman" w:hAnsi="Times New Roman"/>
          <w:sz w:val="24"/>
          <w:szCs w:val="24"/>
        </w:rPr>
        <w:t>Para tal, teria sido necessário contrariar</w:t>
      </w:r>
      <w:r w:rsidR="009456B6">
        <w:rPr>
          <w:rFonts w:ascii="Times New Roman" w:hAnsi="Times New Roman"/>
          <w:sz w:val="24"/>
          <w:szCs w:val="24"/>
        </w:rPr>
        <w:t xml:space="preserve"> </w:t>
      </w:r>
      <w:r w:rsidR="00F56CF9" w:rsidRPr="00B47801">
        <w:rPr>
          <w:rFonts w:ascii="Times New Roman" w:hAnsi="Times New Roman"/>
          <w:sz w:val="24"/>
          <w:szCs w:val="24"/>
        </w:rPr>
        <w:t xml:space="preserve">a tendência de contração que </w:t>
      </w:r>
      <w:r w:rsidR="009456B6">
        <w:rPr>
          <w:rFonts w:ascii="Times New Roman" w:hAnsi="Times New Roman"/>
          <w:sz w:val="24"/>
          <w:szCs w:val="24"/>
        </w:rPr>
        <w:t xml:space="preserve">vinha do </w:t>
      </w:r>
      <w:r w:rsidR="00F56CF9" w:rsidRPr="00B47801">
        <w:rPr>
          <w:rFonts w:ascii="Times New Roman" w:hAnsi="Times New Roman"/>
          <w:sz w:val="24"/>
          <w:szCs w:val="24"/>
        </w:rPr>
        <w:t xml:space="preserve">final dos Setecentos, </w:t>
      </w:r>
      <w:r w:rsidR="009456B6">
        <w:rPr>
          <w:rFonts w:ascii="Times New Roman" w:hAnsi="Times New Roman"/>
          <w:sz w:val="24"/>
          <w:szCs w:val="24"/>
        </w:rPr>
        <w:t xml:space="preserve">num contexto de esvaziamento </w:t>
      </w:r>
      <w:r w:rsidR="00F56CF9" w:rsidRPr="00B47801">
        <w:rPr>
          <w:rFonts w:ascii="Times New Roman" w:hAnsi="Times New Roman"/>
          <w:sz w:val="24"/>
          <w:szCs w:val="24"/>
        </w:rPr>
        <w:t>político (e comercial) de Lisboa</w:t>
      </w:r>
      <w:r w:rsidR="009456B6">
        <w:rPr>
          <w:rFonts w:ascii="Times New Roman" w:hAnsi="Times New Roman"/>
          <w:sz w:val="24"/>
          <w:szCs w:val="24"/>
        </w:rPr>
        <w:t>.</w:t>
      </w:r>
      <w:r w:rsidR="00F56CF9" w:rsidRPr="00B47801">
        <w:rPr>
          <w:rFonts w:ascii="Times New Roman" w:hAnsi="Times New Roman"/>
          <w:sz w:val="24"/>
          <w:szCs w:val="24"/>
        </w:rPr>
        <w:t xml:space="preserve"> É também necessário ter em conta a especificidade da rede urbana portuguesa, marcadamente bicéfala. </w:t>
      </w:r>
      <w:r w:rsidR="00AF49AC" w:rsidRPr="00B47801">
        <w:rPr>
          <w:rFonts w:ascii="Times New Roman" w:hAnsi="Times New Roman"/>
          <w:sz w:val="24"/>
          <w:szCs w:val="24"/>
        </w:rPr>
        <w:t xml:space="preserve">Em 1801, 54% da população urbana vivia em Lisboa e no Porto, e em 1864, ascendia a 60% (Rodrigues, 2004, 59). </w:t>
      </w:r>
      <w:r w:rsidR="00F56CF9" w:rsidRPr="00B47801">
        <w:rPr>
          <w:rFonts w:ascii="Times New Roman" w:hAnsi="Times New Roman"/>
          <w:sz w:val="24"/>
          <w:szCs w:val="24"/>
        </w:rPr>
        <w:t xml:space="preserve"> </w:t>
      </w:r>
      <w:r w:rsidRPr="00B47801">
        <w:rPr>
          <w:rFonts w:ascii="Times New Roman" w:hAnsi="Times New Roman"/>
          <w:sz w:val="24"/>
          <w:szCs w:val="24"/>
        </w:rPr>
        <w:t xml:space="preserve">Recorde-se que as estimativas da população de Lisboa para 1800 </w:t>
      </w:r>
      <w:r w:rsidR="009456B6">
        <w:rPr>
          <w:rFonts w:ascii="Times New Roman" w:hAnsi="Times New Roman"/>
          <w:sz w:val="24"/>
          <w:szCs w:val="24"/>
        </w:rPr>
        <w:t xml:space="preserve">situam-se </w:t>
      </w:r>
      <w:r w:rsidRPr="00B47801">
        <w:rPr>
          <w:rFonts w:ascii="Times New Roman" w:hAnsi="Times New Roman"/>
          <w:sz w:val="24"/>
          <w:szCs w:val="24"/>
        </w:rPr>
        <w:t>entre 170 e 195 mil habitantes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38"/>
      </w:r>
      <w:r w:rsidRPr="00B47801">
        <w:rPr>
          <w:rFonts w:ascii="Times New Roman" w:hAnsi="Times New Roman"/>
          <w:sz w:val="24"/>
          <w:szCs w:val="24"/>
        </w:rPr>
        <w:t xml:space="preserve"> e do Porto de 43 mil habitantes.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39"/>
      </w:r>
      <w:r w:rsidR="00F56CF9" w:rsidRPr="00B47801">
        <w:rPr>
          <w:rFonts w:ascii="Times New Roman" w:hAnsi="Times New Roman"/>
          <w:sz w:val="24"/>
          <w:szCs w:val="24"/>
        </w:rPr>
        <w:t xml:space="preserve"> Para Lisboa, note-se que o censo populacional de 1849 indica um nível populacional de 175 mil habitantes, ou seja, igualando a estimativa mais </w:t>
      </w:r>
      <w:r w:rsidR="00AF49AC" w:rsidRPr="00B47801">
        <w:rPr>
          <w:rFonts w:ascii="Times New Roman" w:hAnsi="Times New Roman"/>
          <w:sz w:val="24"/>
          <w:szCs w:val="24"/>
        </w:rPr>
        <w:t>reduzida</w:t>
      </w:r>
      <w:r w:rsidR="00F56CF9" w:rsidRPr="00B47801">
        <w:rPr>
          <w:rFonts w:ascii="Times New Roman" w:hAnsi="Times New Roman"/>
          <w:sz w:val="24"/>
          <w:szCs w:val="24"/>
        </w:rPr>
        <w:t xml:space="preserve"> de 1800 (Pinheiro, 2011, 193). </w:t>
      </w:r>
      <w:r w:rsidR="00AF49AC" w:rsidRPr="00B47801">
        <w:rPr>
          <w:rFonts w:ascii="Times New Roman" w:hAnsi="Times New Roman"/>
          <w:sz w:val="24"/>
          <w:szCs w:val="24"/>
        </w:rPr>
        <w:t xml:space="preserve">Também no Porto, a população também não terá aumentado até, pelo menos, c. 1820. </w:t>
      </w:r>
      <w:r w:rsidRPr="00B47801">
        <w:rPr>
          <w:rFonts w:ascii="Times New Roman" w:hAnsi="Times New Roman"/>
          <w:sz w:val="24"/>
          <w:szCs w:val="24"/>
        </w:rPr>
        <w:t>Parece conservador – no sentido de não sobreavaliar o recuo do produto económico por intermédio da queda da população urbana – assumir que a população urbana decresceu 5% em valor absoluto entre 1800-1815</w:t>
      </w:r>
      <w:r w:rsidR="00AF49AC" w:rsidRPr="00B47801">
        <w:rPr>
          <w:rFonts w:ascii="Times New Roman" w:hAnsi="Times New Roman"/>
          <w:sz w:val="24"/>
          <w:szCs w:val="24"/>
        </w:rPr>
        <w:t xml:space="preserve"> e que esse declínio </w:t>
      </w:r>
      <w:r w:rsidRPr="00B47801">
        <w:rPr>
          <w:rFonts w:ascii="Times New Roman" w:hAnsi="Times New Roman"/>
          <w:sz w:val="24"/>
          <w:szCs w:val="24"/>
        </w:rPr>
        <w:t xml:space="preserve">ocorreu linearmente. </w:t>
      </w:r>
      <w:r w:rsidR="00AF49AC" w:rsidRPr="00B47801">
        <w:rPr>
          <w:rFonts w:ascii="Times New Roman" w:hAnsi="Times New Roman"/>
          <w:sz w:val="24"/>
          <w:szCs w:val="24"/>
        </w:rPr>
        <w:t xml:space="preserve">Note-se que, dado que a população decresceu durante esse período, o recuo da taxa de urbanização </w:t>
      </w:r>
      <w:r w:rsidR="00232656" w:rsidRPr="00B47801">
        <w:rPr>
          <w:rFonts w:ascii="Times New Roman" w:hAnsi="Times New Roman"/>
          <w:sz w:val="24"/>
          <w:szCs w:val="24"/>
        </w:rPr>
        <w:t xml:space="preserve">correspondente a este cenário </w:t>
      </w:r>
      <w:r w:rsidR="00AF49AC" w:rsidRPr="00B47801">
        <w:rPr>
          <w:rFonts w:ascii="Times New Roman" w:hAnsi="Times New Roman"/>
          <w:sz w:val="24"/>
          <w:szCs w:val="24"/>
        </w:rPr>
        <w:t>é muito reduzido (</w:t>
      </w:r>
      <w:r w:rsidR="00232656" w:rsidRPr="00B47801">
        <w:rPr>
          <w:rFonts w:ascii="Times New Roman" w:hAnsi="Times New Roman"/>
          <w:sz w:val="24"/>
          <w:szCs w:val="24"/>
        </w:rPr>
        <w:t xml:space="preserve">de 16,2% para 15,7%). </w:t>
      </w:r>
      <w:r w:rsidRPr="00B47801">
        <w:rPr>
          <w:rFonts w:ascii="Times New Roman" w:hAnsi="Times New Roman"/>
          <w:sz w:val="24"/>
          <w:szCs w:val="24"/>
        </w:rPr>
        <w:t xml:space="preserve">O crescimento da população urbana, de acordo com esta hipótese, ocorreu, portanto, integralmente entre 1815-1850, </w:t>
      </w:r>
      <w:r w:rsidR="009456B6">
        <w:rPr>
          <w:rFonts w:ascii="Times New Roman" w:hAnsi="Times New Roman"/>
          <w:sz w:val="24"/>
          <w:szCs w:val="24"/>
        </w:rPr>
        <w:t xml:space="preserve">implicando </w:t>
      </w:r>
      <w:r w:rsidRPr="00B47801">
        <w:rPr>
          <w:rFonts w:ascii="Times New Roman" w:hAnsi="Times New Roman"/>
          <w:sz w:val="24"/>
          <w:szCs w:val="24"/>
        </w:rPr>
        <w:t xml:space="preserve">um aumento anual da população urbana de cerca de 5 mil pessoas a partir de 1815. </w:t>
      </w:r>
    </w:p>
    <w:p w14:paraId="461B9835" w14:textId="1CACB814" w:rsidR="007A49FF" w:rsidRPr="00B47801" w:rsidRDefault="007A49FF" w:rsidP="007A49FF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 modelação da variação da população RNAG entre 1800-1850 é mais desafiante. Por um lado, a sua queda foi muito acentuada: em termos de fração da população, reduziu-se para </w:t>
      </w:r>
      <w:r>
        <w:rPr>
          <w:rFonts w:ascii="Times New Roman" w:hAnsi="Times New Roman"/>
          <w:sz w:val="24"/>
          <w:szCs w:val="24"/>
        </w:rPr>
        <w:lastRenderedPageBreak/>
        <w:t>cerca de</w:t>
      </w:r>
      <w:r w:rsidRPr="00B47801">
        <w:rPr>
          <w:rFonts w:ascii="Times New Roman" w:hAnsi="Times New Roman"/>
          <w:sz w:val="24"/>
          <w:szCs w:val="24"/>
        </w:rPr>
        <w:t xml:space="preserve"> metade. Por outro, que a transferência de população RNAG para população Agrícola não est</w:t>
      </w:r>
      <w:r>
        <w:rPr>
          <w:rFonts w:ascii="Times New Roman" w:hAnsi="Times New Roman"/>
          <w:sz w:val="24"/>
          <w:szCs w:val="24"/>
        </w:rPr>
        <w:t>eve, necessariamente,</w:t>
      </w:r>
      <w:r w:rsidRPr="00B47801">
        <w:rPr>
          <w:rFonts w:ascii="Times New Roman" w:hAnsi="Times New Roman"/>
          <w:sz w:val="24"/>
          <w:szCs w:val="24"/>
        </w:rPr>
        <w:t xml:space="preserve"> associad</w:t>
      </w:r>
      <w:r>
        <w:rPr>
          <w:rFonts w:ascii="Times New Roman" w:hAnsi="Times New Roman"/>
          <w:sz w:val="24"/>
          <w:szCs w:val="24"/>
        </w:rPr>
        <w:t>o, a um movimento migratório. T</w:t>
      </w:r>
      <w:r w:rsidRPr="00B47801">
        <w:rPr>
          <w:rFonts w:ascii="Times New Roman" w:hAnsi="Times New Roman"/>
          <w:sz w:val="24"/>
          <w:szCs w:val="24"/>
        </w:rPr>
        <w:t>rata</w:t>
      </w:r>
      <w:r>
        <w:rPr>
          <w:rFonts w:ascii="Times New Roman" w:hAnsi="Times New Roman"/>
          <w:sz w:val="24"/>
          <w:szCs w:val="24"/>
        </w:rPr>
        <w:t>ndo</w:t>
      </w:r>
      <w:r w:rsidRPr="00B47801">
        <w:rPr>
          <w:rFonts w:ascii="Times New Roman" w:hAnsi="Times New Roman"/>
          <w:sz w:val="24"/>
          <w:szCs w:val="24"/>
        </w:rPr>
        <w:t xml:space="preserve">-se apenas de uma alteração ocupacional </w:t>
      </w:r>
      <w:r>
        <w:rPr>
          <w:rFonts w:ascii="Times New Roman" w:hAnsi="Times New Roman"/>
          <w:sz w:val="24"/>
          <w:szCs w:val="24"/>
        </w:rPr>
        <w:t xml:space="preserve">no meio rural, </w:t>
      </w:r>
      <w:r w:rsidRPr="00B47801">
        <w:rPr>
          <w:rFonts w:ascii="Times New Roman" w:hAnsi="Times New Roman"/>
          <w:sz w:val="24"/>
          <w:szCs w:val="24"/>
        </w:rPr>
        <w:t xml:space="preserve">nada impede que a sua variação não </w:t>
      </w:r>
      <w:r>
        <w:rPr>
          <w:rFonts w:ascii="Times New Roman" w:hAnsi="Times New Roman"/>
          <w:sz w:val="24"/>
          <w:szCs w:val="24"/>
        </w:rPr>
        <w:t xml:space="preserve">tenha sido </w:t>
      </w:r>
      <w:r w:rsidRPr="00B47801">
        <w:rPr>
          <w:rFonts w:ascii="Times New Roman" w:hAnsi="Times New Roman"/>
          <w:sz w:val="24"/>
          <w:szCs w:val="24"/>
        </w:rPr>
        <w:t xml:space="preserve">súbita. Desse modo, assumiu-se que metade da queda da população RNAG ocorreu entre 1800-1815, e a outra metade entre 1815-1850. Pretende-se assim, não só incorporar uma maior elasticidade, como concentrar o maior declínio no período em que ocorre alguma desurbanização. Estas considerações levam a que a população agrícola aumente de forma aproximadamente linear durante este período, embora se verifique uma aceleração a partir de 1815. Apresentam-se na Tabela </w:t>
      </w:r>
      <w:r>
        <w:rPr>
          <w:rFonts w:ascii="Times New Roman" w:hAnsi="Times New Roman"/>
          <w:sz w:val="24"/>
          <w:szCs w:val="24"/>
        </w:rPr>
        <w:t>7</w:t>
      </w:r>
      <w:r w:rsidRPr="00B47801">
        <w:rPr>
          <w:rFonts w:ascii="Times New Roman" w:hAnsi="Times New Roman"/>
          <w:sz w:val="24"/>
          <w:szCs w:val="24"/>
        </w:rPr>
        <w:t xml:space="preserve"> as taxas efetivas de variação da estrutura ocupacional da população que sobrevêm destes pressupostos. </w:t>
      </w:r>
    </w:p>
    <w:p w14:paraId="38DCA967" w14:textId="2A5962DE" w:rsidR="00BA7383" w:rsidRPr="00B47801" w:rsidRDefault="00BA7383" w:rsidP="007A49FF">
      <w:pPr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14:paraId="48C18EB4" w14:textId="48E306C7" w:rsidR="008660B8" w:rsidRPr="0084245A" w:rsidRDefault="008660B8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84245A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84245A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84245A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84245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6D6AF7">
        <w:rPr>
          <w:rFonts w:ascii="Times New Roman" w:hAnsi="Times New Roman"/>
          <w:b/>
          <w:bCs/>
          <w:noProof/>
          <w:sz w:val="22"/>
          <w:szCs w:val="22"/>
        </w:rPr>
        <w:t>7</w:t>
      </w:r>
      <w:r w:rsidRPr="0084245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84245A">
        <w:rPr>
          <w:rFonts w:ascii="Times New Roman" w:hAnsi="Times New Roman"/>
          <w:b/>
          <w:bCs/>
          <w:sz w:val="22"/>
          <w:szCs w:val="22"/>
        </w:rPr>
        <w:t xml:space="preserve">: Taxas de Evolução da </w:t>
      </w:r>
      <w:r w:rsidR="006B7406" w:rsidRPr="0084245A">
        <w:rPr>
          <w:rFonts w:ascii="Times New Roman" w:hAnsi="Times New Roman"/>
          <w:b/>
          <w:bCs/>
          <w:sz w:val="22"/>
          <w:szCs w:val="22"/>
        </w:rPr>
        <w:t xml:space="preserve">Variação da </w:t>
      </w:r>
      <w:r w:rsidRPr="0084245A">
        <w:rPr>
          <w:rFonts w:ascii="Times New Roman" w:hAnsi="Times New Roman"/>
          <w:b/>
          <w:bCs/>
          <w:sz w:val="22"/>
          <w:szCs w:val="22"/>
        </w:rPr>
        <w:t xml:space="preserve">Estrutura Ocupacional da População </w:t>
      </w:r>
    </w:p>
    <w:p w14:paraId="045B9CCE" w14:textId="499F53EE" w:rsidR="00BA7383" w:rsidRDefault="006B7406" w:rsidP="008906F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89F1FE" wp14:editId="23F74434">
            <wp:extent cx="3484800" cy="225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20"/>
                    <a:stretch/>
                  </pic:blipFill>
                  <pic:spPr bwMode="auto">
                    <a:xfrm>
                      <a:off x="0" y="0"/>
                      <a:ext cx="34848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6857C" w14:textId="5BC0BBA3" w:rsidR="00917C3E" w:rsidRPr="00B47801" w:rsidRDefault="00917C3E" w:rsidP="00BF189B">
      <w:pPr>
        <w:jc w:val="left"/>
        <w:rPr>
          <w:rFonts w:ascii="Times New Roman" w:hAnsi="Times New Roman"/>
          <w:sz w:val="24"/>
          <w:szCs w:val="24"/>
        </w:rPr>
      </w:pPr>
    </w:p>
    <w:p w14:paraId="642A52DB" w14:textId="02F36765" w:rsidR="0037685E" w:rsidRPr="00B47801" w:rsidRDefault="0037685E" w:rsidP="00730434">
      <w:pPr>
        <w:pStyle w:val="Heading1"/>
        <w:numPr>
          <w:ilvl w:val="1"/>
          <w:numId w:val="35"/>
        </w:numPr>
      </w:pPr>
      <w:bookmarkStart w:id="27" w:name="_Toc137755374"/>
      <w:r w:rsidRPr="00B47801">
        <w:t xml:space="preserve">Anexo </w:t>
      </w:r>
      <w:r w:rsidR="00DE451B" w:rsidRPr="00B47801">
        <w:t>I</w:t>
      </w:r>
      <w:r w:rsidRPr="00B47801">
        <w:t>I: Variação d</w:t>
      </w:r>
      <w:r w:rsidR="00DE451B" w:rsidRPr="00B47801">
        <w:t>o PIB, PIB pc, PAB e Produtividade do Trabalho Agrícola</w:t>
      </w:r>
      <w:bookmarkEnd w:id="27"/>
    </w:p>
    <w:p w14:paraId="777E7E74" w14:textId="22EC2BB3" w:rsidR="00DE451B" w:rsidRPr="00B47801" w:rsidRDefault="00DE451B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Em complemento ao Quadro </w:t>
      </w:r>
      <w:r w:rsidR="008C4EE9" w:rsidRPr="00B47801">
        <w:rPr>
          <w:rFonts w:ascii="Times New Roman" w:hAnsi="Times New Roman"/>
          <w:sz w:val="24"/>
          <w:szCs w:val="24"/>
        </w:rPr>
        <w:t>1</w:t>
      </w:r>
      <w:r w:rsidRPr="00B47801">
        <w:rPr>
          <w:rFonts w:ascii="Times New Roman" w:hAnsi="Times New Roman"/>
          <w:sz w:val="24"/>
          <w:szCs w:val="24"/>
        </w:rPr>
        <w:t xml:space="preserve"> (cf. </w:t>
      </w:r>
      <w:r w:rsidRPr="00B47801">
        <w:rPr>
          <w:rFonts w:ascii="Times New Roman" w:hAnsi="Times New Roman"/>
          <w:sz w:val="24"/>
          <w:szCs w:val="24"/>
        </w:rPr>
        <w:fldChar w:fldCharType="begin"/>
      </w:r>
      <w:r w:rsidRPr="00B47801">
        <w:rPr>
          <w:rFonts w:ascii="Times New Roman" w:hAnsi="Times New Roman"/>
          <w:sz w:val="24"/>
          <w:szCs w:val="24"/>
        </w:rPr>
        <w:instrText xml:space="preserve"> REF _Ref130984935 \r \h </w:instrText>
      </w:r>
      <w:r w:rsidR="00DC2034" w:rsidRPr="00B47801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B47801">
        <w:rPr>
          <w:rFonts w:ascii="Times New Roman" w:hAnsi="Times New Roman"/>
          <w:sz w:val="24"/>
          <w:szCs w:val="24"/>
        </w:rPr>
      </w:r>
      <w:r w:rsidRPr="00B47801">
        <w:rPr>
          <w:rFonts w:ascii="Times New Roman" w:hAnsi="Times New Roman"/>
          <w:sz w:val="24"/>
          <w:szCs w:val="24"/>
        </w:rPr>
        <w:fldChar w:fldCharType="separate"/>
      </w:r>
      <w:r w:rsidR="00EF11E1">
        <w:rPr>
          <w:rFonts w:ascii="Times New Roman" w:hAnsi="Times New Roman"/>
          <w:sz w:val="24"/>
          <w:szCs w:val="24"/>
        </w:rPr>
        <w:t>2.2</w:t>
      </w:r>
      <w:r w:rsidRPr="00B47801">
        <w:rPr>
          <w:rFonts w:ascii="Times New Roman" w:hAnsi="Times New Roman"/>
          <w:sz w:val="24"/>
          <w:szCs w:val="24"/>
        </w:rPr>
        <w:fldChar w:fldCharType="end"/>
      </w:r>
      <w:r w:rsidRPr="00B47801">
        <w:rPr>
          <w:rFonts w:ascii="Times New Roman" w:hAnsi="Times New Roman"/>
          <w:sz w:val="24"/>
          <w:szCs w:val="24"/>
        </w:rPr>
        <w:t>), apresenta-se a variação gráfica desse gráfica dos indicadores apresentados. N</w:t>
      </w:r>
      <w:r w:rsidR="008C4EE9" w:rsidRPr="00B47801">
        <w:rPr>
          <w:rFonts w:ascii="Times New Roman" w:hAnsi="Times New Roman"/>
          <w:sz w:val="24"/>
          <w:szCs w:val="24"/>
        </w:rPr>
        <w:t>o</w:t>
      </w:r>
      <w:r w:rsidRPr="00B47801">
        <w:rPr>
          <w:rFonts w:ascii="Times New Roman" w:hAnsi="Times New Roman"/>
          <w:sz w:val="24"/>
          <w:szCs w:val="24"/>
        </w:rPr>
        <w:t xml:space="preserve"> </w:t>
      </w:r>
      <w:r w:rsidR="008C4EE9" w:rsidRPr="00B47801">
        <w:rPr>
          <w:rFonts w:ascii="Times New Roman" w:hAnsi="Times New Roman"/>
          <w:sz w:val="24"/>
          <w:szCs w:val="24"/>
        </w:rPr>
        <w:t>Gráfico 3</w:t>
      </w:r>
      <w:r w:rsidRPr="00B47801">
        <w:rPr>
          <w:rFonts w:ascii="Times New Roman" w:hAnsi="Times New Roman"/>
          <w:sz w:val="24"/>
          <w:szCs w:val="24"/>
        </w:rPr>
        <w:t xml:space="preserve">, apresenta-se a variação do PIB, PIB pc, e da população total. Na </w:t>
      </w:r>
      <w:r w:rsidR="008C4EE9" w:rsidRPr="00B47801">
        <w:rPr>
          <w:rFonts w:ascii="Times New Roman" w:hAnsi="Times New Roman"/>
          <w:sz w:val="24"/>
          <w:szCs w:val="24"/>
        </w:rPr>
        <w:t>Gráfico 4</w:t>
      </w:r>
      <w:r w:rsidRPr="00B47801">
        <w:rPr>
          <w:rFonts w:ascii="Times New Roman" w:hAnsi="Times New Roman"/>
          <w:sz w:val="24"/>
          <w:szCs w:val="24"/>
        </w:rPr>
        <w:t xml:space="preserve"> apresenta-se a variação do PAB, </w:t>
      </w:r>
      <w:bookmarkStart w:id="28" w:name="_Hlk133255393"/>
      <w:r w:rsidRPr="00B47801">
        <w:rPr>
          <w:rFonts w:ascii="Times New Roman" w:hAnsi="Times New Roman"/>
          <w:sz w:val="24"/>
          <w:szCs w:val="24"/>
        </w:rPr>
        <w:t xml:space="preserve">Produtividade da mão-de-obra agrícola </w:t>
      </w:r>
      <w:bookmarkEnd w:id="28"/>
      <w:r w:rsidRPr="00B47801">
        <w:rPr>
          <w:rFonts w:ascii="Times New Roman" w:hAnsi="Times New Roman"/>
          <w:sz w:val="24"/>
          <w:szCs w:val="24"/>
        </w:rPr>
        <w:t xml:space="preserve">e população da categoria profissional agrícola. </w:t>
      </w:r>
    </w:p>
    <w:p w14:paraId="7F8CB727" w14:textId="77777777" w:rsidR="008C4EE9" w:rsidRPr="00B47801" w:rsidRDefault="008C4EE9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</w:p>
    <w:p w14:paraId="339F1A73" w14:textId="15C00778" w:rsidR="00DE451B" w:rsidRPr="006D6AF7" w:rsidRDefault="006D6AF7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6D6AF7">
        <w:rPr>
          <w:rFonts w:ascii="Times New Roman" w:hAnsi="Times New Roman"/>
          <w:b/>
          <w:bCs/>
          <w:sz w:val="22"/>
          <w:szCs w:val="22"/>
        </w:rPr>
        <w:lastRenderedPageBreak/>
        <w:t xml:space="preserve">Gráfico </w:t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instrText xml:space="preserve"> SEQ Quadro \* ARABIC </w:instrText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F535A2" w:rsidRPr="006D6AF7">
        <w:rPr>
          <w:rFonts w:ascii="Times New Roman" w:hAnsi="Times New Roman"/>
          <w:b/>
          <w:bCs/>
          <w:noProof/>
          <w:sz w:val="22"/>
          <w:szCs w:val="22"/>
        </w:rPr>
        <w:t>3</w:t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DE451B" w:rsidRPr="006D6AF7">
        <w:rPr>
          <w:rFonts w:ascii="Times New Roman" w:hAnsi="Times New Roman"/>
          <w:sz w:val="22"/>
          <w:szCs w:val="22"/>
        </w:rPr>
        <w:t xml:space="preserve">: </w:t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t xml:space="preserve">PIB, PIB pc e População Total (y2) (1600-1845) </w:t>
      </w:r>
    </w:p>
    <w:p w14:paraId="726CC439" w14:textId="553C7877" w:rsidR="009573AC" w:rsidRDefault="00DE451B" w:rsidP="008906F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39DF3B" wp14:editId="3BBCCE20">
            <wp:extent cx="5108400" cy="334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0" cy="33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DA4F6" w14:textId="6CE01E5E" w:rsidR="00EF11E1" w:rsidRPr="006D6AF7" w:rsidRDefault="00EF11E1" w:rsidP="008906F1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  <w:r w:rsidRPr="006D6AF7">
        <w:rPr>
          <w:rFonts w:ascii="Times New Roman" w:hAnsi="Times New Roman"/>
          <w:b/>
          <w:bCs/>
          <w:sz w:val="22"/>
          <w:szCs w:val="22"/>
        </w:rPr>
        <w:t xml:space="preserve">Fontes: </w:t>
      </w:r>
      <w:r w:rsidRPr="006D6AF7">
        <w:rPr>
          <w:rFonts w:ascii="Times New Roman" w:hAnsi="Times New Roman"/>
          <w:sz w:val="22"/>
          <w:szCs w:val="22"/>
        </w:rPr>
        <w:t>Ver Texto</w:t>
      </w:r>
    </w:p>
    <w:p w14:paraId="75C1F1CF" w14:textId="6D0B0AC8" w:rsidR="00EF11E1" w:rsidRDefault="00EF11E1" w:rsidP="007A49FF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E83F8E3" w14:textId="5CAAE705" w:rsidR="00DE451B" w:rsidRPr="006D6AF7" w:rsidRDefault="006D6AF7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6D6AF7">
        <w:rPr>
          <w:rFonts w:ascii="Times New Roman" w:hAnsi="Times New Roman"/>
          <w:b/>
          <w:bCs/>
          <w:sz w:val="22"/>
          <w:szCs w:val="22"/>
        </w:rPr>
        <w:t xml:space="preserve">Gráfico </w:t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instrText xml:space="preserve"> SEQ Quadro \* ARABIC </w:instrText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F535A2" w:rsidRPr="006D6AF7">
        <w:rPr>
          <w:rFonts w:ascii="Times New Roman" w:hAnsi="Times New Roman"/>
          <w:b/>
          <w:bCs/>
          <w:noProof/>
          <w:sz w:val="22"/>
          <w:szCs w:val="22"/>
        </w:rPr>
        <w:t>4</w:t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DE451B" w:rsidRPr="006D6AF7">
        <w:rPr>
          <w:rFonts w:ascii="Times New Roman" w:hAnsi="Times New Roman"/>
          <w:sz w:val="22"/>
          <w:szCs w:val="22"/>
        </w:rPr>
        <w:t xml:space="preserve">: </w:t>
      </w:r>
      <w:r w:rsidR="00DE451B" w:rsidRPr="006D6AF7">
        <w:rPr>
          <w:rFonts w:ascii="Times New Roman" w:hAnsi="Times New Roman"/>
          <w:b/>
          <w:bCs/>
          <w:sz w:val="22"/>
          <w:szCs w:val="22"/>
        </w:rPr>
        <w:t xml:space="preserve">PAB, Produtividade do Trabalho Agrícola, e População Agrícola (y2) (1600-1845) </w:t>
      </w:r>
    </w:p>
    <w:p w14:paraId="31783A1D" w14:textId="5783403D" w:rsidR="00DE451B" w:rsidRDefault="00DE451B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7801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288A5FDB" wp14:editId="61445872">
            <wp:extent cx="5108400" cy="3340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0" cy="33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90E30" w14:textId="77777777" w:rsidR="00EF11E1" w:rsidRPr="006D6AF7" w:rsidRDefault="00EF11E1" w:rsidP="008906F1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  <w:r w:rsidRPr="006D6AF7">
        <w:rPr>
          <w:rFonts w:ascii="Times New Roman" w:hAnsi="Times New Roman"/>
          <w:b/>
          <w:bCs/>
          <w:sz w:val="22"/>
          <w:szCs w:val="22"/>
        </w:rPr>
        <w:t xml:space="preserve">Fontes: </w:t>
      </w:r>
      <w:r w:rsidRPr="006D6AF7">
        <w:rPr>
          <w:rFonts w:ascii="Times New Roman" w:hAnsi="Times New Roman"/>
          <w:sz w:val="22"/>
          <w:szCs w:val="22"/>
        </w:rPr>
        <w:t>Ver Texto</w:t>
      </w:r>
    </w:p>
    <w:p w14:paraId="4948823C" w14:textId="77777777" w:rsidR="00EF11E1" w:rsidRPr="00B47801" w:rsidRDefault="00EF11E1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32977D" w14:textId="0D2C845E" w:rsidR="009573AC" w:rsidRPr="00BF189B" w:rsidRDefault="009573AC" w:rsidP="00730434">
      <w:pPr>
        <w:pStyle w:val="Heading1"/>
        <w:numPr>
          <w:ilvl w:val="1"/>
          <w:numId w:val="35"/>
        </w:numPr>
      </w:pPr>
      <w:bookmarkStart w:id="29" w:name="_Ref133331337"/>
      <w:bookmarkStart w:id="30" w:name="_Toc137755375"/>
      <w:r w:rsidRPr="00BF189B">
        <w:lastRenderedPageBreak/>
        <w:t>Anexo I</w:t>
      </w:r>
      <w:r w:rsidR="00917C3E" w:rsidRPr="00BF189B">
        <w:t>I</w:t>
      </w:r>
      <w:r w:rsidRPr="00BF189B">
        <w:t>I: Determinação da Variação do Skill Premium</w:t>
      </w:r>
      <w:bookmarkEnd w:id="29"/>
      <w:bookmarkEnd w:id="30"/>
    </w:p>
    <w:p w14:paraId="4E0014DD" w14:textId="6F0DFCC1" w:rsidR="007817F5" w:rsidRPr="00B47801" w:rsidRDefault="007817F5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>O cálculo da variação do skill premium foi efetuado em três etapas. Em primeiro, é calculada a proporção da população das quatro regiões económicas, em intervalos de décadas, para a cronologia 1600-1850. Palma &amp; Reis associaram Entre Douro e Minho e Trás-os-Montes, ao Porto e seu hinterland, a Beira a Coimbra e seu hinterland, a Extremadura a Lisboa e seu hinterland e, finalmente, o Alentejo e o Algarve, a Évora e seu hinterland. Estas repartições regionais foram obtidas a partir de Palma, Reis &amp; Zhang (2017)</w:t>
      </w:r>
      <w:r w:rsidRPr="00B47801">
        <w:rPr>
          <w:rStyle w:val="FootnoteReference"/>
          <w:rFonts w:ascii="Times New Roman" w:hAnsi="Times New Roman"/>
          <w:sz w:val="24"/>
          <w:szCs w:val="24"/>
        </w:rPr>
        <w:footnoteReference w:id="40"/>
      </w:r>
      <w:r w:rsidR="00BF189B">
        <w:rPr>
          <w:rFonts w:ascii="Times New Roman" w:hAnsi="Times New Roman"/>
          <w:sz w:val="24"/>
          <w:szCs w:val="24"/>
        </w:rPr>
        <w:t>.</w:t>
      </w:r>
      <w:r w:rsidRPr="00B47801">
        <w:rPr>
          <w:rFonts w:ascii="Times New Roman" w:hAnsi="Times New Roman"/>
          <w:sz w:val="24"/>
          <w:szCs w:val="24"/>
        </w:rPr>
        <w:t xml:space="preserve"> Em segundo, foi estimado o skill premium em cada década através de uma média a 10 anos, em cada uma das regiões económicas</w:t>
      </w:r>
      <w:r w:rsidR="000518BE" w:rsidRPr="00B47801">
        <w:rPr>
          <w:rFonts w:ascii="Times New Roman" w:hAnsi="Times New Roman"/>
          <w:sz w:val="24"/>
          <w:szCs w:val="24"/>
        </w:rPr>
        <w:t>, a partir dos dados do projeto PWR</w:t>
      </w:r>
      <w:r w:rsidRPr="00B47801">
        <w:rPr>
          <w:rFonts w:ascii="Times New Roman" w:hAnsi="Times New Roman"/>
          <w:sz w:val="24"/>
          <w:szCs w:val="24"/>
        </w:rPr>
        <w:t xml:space="preserve">. O skill premium nacional por década é obtido através da ponderação dos skill premium regionais com o peso populacional de cada região. </w:t>
      </w:r>
      <w:r w:rsidR="00A94003" w:rsidRPr="00B47801">
        <w:rPr>
          <w:rFonts w:ascii="Times New Roman" w:hAnsi="Times New Roman"/>
          <w:sz w:val="24"/>
          <w:szCs w:val="24"/>
        </w:rPr>
        <w:t xml:space="preserve">O skill premium anual é obtido por interpolação linear das médias decenais. </w:t>
      </w:r>
      <w:r w:rsidRPr="00B47801">
        <w:rPr>
          <w:rFonts w:ascii="Times New Roman" w:hAnsi="Times New Roman"/>
          <w:sz w:val="24"/>
          <w:szCs w:val="24"/>
        </w:rPr>
        <w:t>Seguiram-se duas abordagens distintas quando os dados do PWR não permitem obter dados de skill premium de uma dada região</w:t>
      </w:r>
      <w:r w:rsidR="00A94003" w:rsidRPr="00B47801">
        <w:rPr>
          <w:rFonts w:ascii="Times New Roman" w:hAnsi="Times New Roman"/>
          <w:sz w:val="24"/>
          <w:szCs w:val="24"/>
        </w:rPr>
        <w:t xml:space="preserve"> para um determinada década</w:t>
      </w:r>
      <w:r w:rsidRPr="00B47801">
        <w:rPr>
          <w:rFonts w:ascii="Times New Roman" w:hAnsi="Times New Roman"/>
          <w:sz w:val="24"/>
          <w:szCs w:val="24"/>
        </w:rPr>
        <w:t xml:space="preserve">. Caso </w:t>
      </w:r>
      <w:r w:rsidR="00A94003" w:rsidRPr="00B47801">
        <w:rPr>
          <w:rFonts w:ascii="Times New Roman" w:hAnsi="Times New Roman"/>
          <w:sz w:val="24"/>
          <w:szCs w:val="24"/>
        </w:rPr>
        <w:t xml:space="preserve">os skill premium das décadas imediatamente anterior e posterior </w:t>
      </w:r>
      <w:r w:rsidR="00BF189B">
        <w:rPr>
          <w:rFonts w:ascii="Times New Roman" w:hAnsi="Times New Roman"/>
          <w:sz w:val="24"/>
          <w:szCs w:val="24"/>
        </w:rPr>
        <w:t>estejam</w:t>
      </w:r>
      <w:r w:rsidR="00AD1E17" w:rsidRPr="00B47801">
        <w:rPr>
          <w:rFonts w:ascii="Times New Roman" w:hAnsi="Times New Roman"/>
          <w:sz w:val="24"/>
          <w:szCs w:val="24"/>
        </w:rPr>
        <w:t xml:space="preserve"> </w:t>
      </w:r>
      <w:r w:rsidR="00A94003" w:rsidRPr="00B47801">
        <w:rPr>
          <w:rFonts w:ascii="Times New Roman" w:hAnsi="Times New Roman"/>
          <w:sz w:val="24"/>
          <w:szCs w:val="24"/>
        </w:rPr>
        <w:t xml:space="preserve">disponíveis, aplicou-se a média dessas décadas. Quando o intervalo sem dados </w:t>
      </w:r>
      <w:r w:rsidR="00AD1E17" w:rsidRPr="00B47801">
        <w:rPr>
          <w:rFonts w:ascii="Times New Roman" w:hAnsi="Times New Roman"/>
          <w:sz w:val="24"/>
          <w:szCs w:val="24"/>
        </w:rPr>
        <w:t>é</w:t>
      </w:r>
      <w:r w:rsidR="00A94003" w:rsidRPr="00B47801">
        <w:rPr>
          <w:rFonts w:ascii="Times New Roman" w:hAnsi="Times New Roman"/>
          <w:sz w:val="24"/>
          <w:szCs w:val="24"/>
        </w:rPr>
        <w:t xml:space="preserve"> superior a uma década, </w:t>
      </w:r>
      <w:r w:rsidRPr="00B47801">
        <w:rPr>
          <w:rFonts w:ascii="Times New Roman" w:hAnsi="Times New Roman"/>
          <w:sz w:val="24"/>
          <w:szCs w:val="24"/>
        </w:rPr>
        <w:t>a ponderação da população foi ajustada por forma a considerar apenas os skill premi</w:t>
      </w:r>
      <w:r w:rsidR="00AD1E17" w:rsidRPr="00B47801">
        <w:rPr>
          <w:rFonts w:ascii="Times New Roman" w:hAnsi="Times New Roman"/>
          <w:sz w:val="24"/>
          <w:szCs w:val="24"/>
        </w:rPr>
        <w:t>a</w:t>
      </w:r>
      <w:r w:rsidRPr="00B47801">
        <w:rPr>
          <w:rFonts w:ascii="Times New Roman" w:hAnsi="Times New Roman"/>
          <w:sz w:val="24"/>
          <w:szCs w:val="24"/>
        </w:rPr>
        <w:t xml:space="preserve"> regionais disponíveis. </w:t>
      </w:r>
      <w:r w:rsidR="00AD1E17" w:rsidRPr="00B47801">
        <w:rPr>
          <w:rFonts w:ascii="Times New Roman" w:hAnsi="Times New Roman"/>
          <w:sz w:val="24"/>
          <w:szCs w:val="24"/>
        </w:rPr>
        <w:t xml:space="preserve">No caso dos salários dos trabalhadores RNAG, por definição, skill premium considerado é dado pela expressão: 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n,i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rna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0.5 . 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n,i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 xml:space="preserve">. </m:t>
        </m:r>
      </m:oMath>
      <w:r w:rsidRPr="00B47801">
        <w:rPr>
          <w:rFonts w:ascii="Times New Roman" w:hAnsi="Times New Roman"/>
          <w:sz w:val="24"/>
          <w:szCs w:val="24"/>
        </w:rPr>
        <w:t xml:space="preserve">Apresentam-se os resultados dessa análise nas Tabelas </w:t>
      </w:r>
      <w:r w:rsidR="00BF189B">
        <w:rPr>
          <w:rFonts w:ascii="Times New Roman" w:hAnsi="Times New Roman"/>
          <w:sz w:val="24"/>
          <w:szCs w:val="24"/>
        </w:rPr>
        <w:t>8</w:t>
      </w:r>
      <w:r w:rsidRPr="00B47801">
        <w:rPr>
          <w:rFonts w:ascii="Times New Roman" w:hAnsi="Times New Roman"/>
          <w:sz w:val="24"/>
          <w:szCs w:val="24"/>
        </w:rPr>
        <w:t xml:space="preserve"> e </w:t>
      </w:r>
      <w:r w:rsidR="00BF189B">
        <w:rPr>
          <w:rFonts w:ascii="Times New Roman" w:hAnsi="Times New Roman"/>
          <w:sz w:val="24"/>
          <w:szCs w:val="24"/>
        </w:rPr>
        <w:t xml:space="preserve">9, e </w:t>
      </w:r>
      <w:r w:rsidR="00AD1E17" w:rsidRPr="00B47801">
        <w:rPr>
          <w:rFonts w:ascii="Times New Roman" w:hAnsi="Times New Roman"/>
          <w:sz w:val="24"/>
          <w:szCs w:val="24"/>
        </w:rPr>
        <w:t>n</w:t>
      </w:r>
      <w:r w:rsidR="008C4EE9" w:rsidRPr="00B47801">
        <w:rPr>
          <w:rFonts w:ascii="Times New Roman" w:hAnsi="Times New Roman"/>
          <w:sz w:val="24"/>
          <w:szCs w:val="24"/>
        </w:rPr>
        <w:t>o</w:t>
      </w:r>
      <w:r w:rsidR="00AD1E17" w:rsidRPr="00B47801">
        <w:rPr>
          <w:rFonts w:ascii="Times New Roman" w:hAnsi="Times New Roman"/>
          <w:sz w:val="24"/>
          <w:szCs w:val="24"/>
        </w:rPr>
        <w:t xml:space="preserve"> </w:t>
      </w:r>
      <w:r w:rsidR="008C4EE9" w:rsidRPr="00B47801">
        <w:rPr>
          <w:rFonts w:ascii="Times New Roman" w:hAnsi="Times New Roman"/>
          <w:sz w:val="24"/>
          <w:szCs w:val="24"/>
        </w:rPr>
        <w:t>Gráfico 5</w:t>
      </w:r>
      <w:r w:rsidR="00AD1E17" w:rsidRPr="00B47801">
        <w:rPr>
          <w:rFonts w:ascii="Times New Roman" w:hAnsi="Times New Roman"/>
          <w:sz w:val="24"/>
          <w:szCs w:val="24"/>
        </w:rPr>
        <w:t xml:space="preserve">. </w:t>
      </w:r>
    </w:p>
    <w:p w14:paraId="73AED0AD" w14:textId="6FBA16C3" w:rsidR="005551A9" w:rsidRPr="00B47801" w:rsidRDefault="005551A9" w:rsidP="008906F1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sz w:val="24"/>
          <w:szCs w:val="24"/>
        </w:rPr>
        <w:t xml:space="preserve">A representatividade das fontes </w:t>
      </w:r>
      <w:r w:rsidR="00BF189B">
        <w:rPr>
          <w:rFonts w:ascii="Times New Roman" w:hAnsi="Times New Roman"/>
          <w:sz w:val="24"/>
          <w:szCs w:val="24"/>
        </w:rPr>
        <w:t xml:space="preserve">na determinação do </w:t>
      </w:r>
      <w:r w:rsidRPr="00B47801">
        <w:rPr>
          <w:rFonts w:ascii="Times New Roman" w:hAnsi="Times New Roman"/>
          <w:sz w:val="24"/>
          <w:szCs w:val="24"/>
        </w:rPr>
        <w:t>skill premium</w:t>
      </w:r>
      <w:r w:rsidR="00BF189B">
        <w:rPr>
          <w:rFonts w:ascii="Times New Roman" w:hAnsi="Times New Roman"/>
          <w:sz w:val="24"/>
          <w:szCs w:val="24"/>
        </w:rPr>
        <w:t xml:space="preserve"> está longe de ser totalmente satisfatória</w:t>
      </w:r>
      <w:r w:rsidRPr="00B47801">
        <w:rPr>
          <w:rFonts w:ascii="Times New Roman" w:hAnsi="Times New Roman"/>
          <w:sz w:val="24"/>
          <w:szCs w:val="24"/>
        </w:rPr>
        <w:t xml:space="preserve">. O cálculo de valores médios decenais de skill premium entre 1600-1850, indica uma representatividade de observações diretas </w:t>
      </w:r>
      <w:r w:rsidR="00BF189B">
        <w:rPr>
          <w:rFonts w:ascii="Times New Roman" w:hAnsi="Times New Roman"/>
          <w:sz w:val="24"/>
          <w:szCs w:val="24"/>
        </w:rPr>
        <w:t>de 46</w:t>
      </w:r>
      <w:r w:rsidRPr="00B47801">
        <w:rPr>
          <w:rFonts w:ascii="Times New Roman" w:hAnsi="Times New Roman"/>
          <w:sz w:val="24"/>
          <w:szCs w:val="24"/>
        </w:rPr>
        <w:t xml:space="preserve">%. Algumas regiões económicas apresentam mesmo descontinuidades importantes. No Porto, está disponível apenas uma observação de skill premium entre 1810-1850. A representatividade das fontes </w:t>
      </w:r>
      <w:r w:rsidR="00AD1E17" w:rsidRPr="00B47801">
        <w:rPr>
          <w:rFonts w:ascii="Times New Roman" w:hAnsi="Times New Roman"/>
          <w:sz w:val="24"/>
          <w:szCs w:val="24"/>
        </w:rPr>
        <w:lastRenderedPageBreak/>
        <w:t xml:space="preserve">nessa região </w:t>
      </w:r>
      <w:r w:rsidRPr="00B47801">
        <w:rPr>
          <w:rFonts w:ascii="Times New Roman" w:hAnsi="Times New Roman"/>
          <w:sz w:val="24"/>
          <w:szCs w:val="24"/>
        </w:rPr>
        <w:t>económica</w:t>
      </w:r>
      <w:r w:rsidR="00AD1E17" w:rsidRPr="00B47801">
        <w:rPr>
          <w:rFonts w:ascii="Times New Roman" w:hAnsi="Times New Roman"/>
          <w:sz w:val="24"/>
          <w:szCs w:val="24"/>
        </w:rPr>
        <w:t xml:space="preserve"> – a </w:t>
      </w:r>
      <w:r w:rsidRPr="00B47801">
        <w:rPr>
          <w:rFonts w:ascii="Times New Roman" w:hAnsi="Times New Roman"/>
          <w:sz w:val="24"/>
          <w:szCs w:val="24"/>
        </w:rPr>
        <w:t>mais populosa do país a partir do início do século XVIII</w:t>
      </w:r>
      <w:r w:rsidR="00AD1E17" w:rsidRPr="00B47801">
        <w:rPr>
          <w:rFonts w:ascii="Times New Roman" w:hAnsi="Times New Roman"/>
          <w:sz w:val="24"/>
          <w:szCs w:val="24"/>
        </w:rPr>
        <w:t xml:space="preserve"> – </w:t>
      </w:r>
      <w:r w:rsidRPr="00B47801">
        <w:rPr>
          <w:rFonts w:ascii="Times New Roman" w:hAnsi="Times New Roman"/>
          <w:sz w:val="24"/>
          <w:szCs w:val="24"/>
        </w:rPr>
        <w:t xml:space="preserve">é, aliás, reduzida: </w:t>
      </w:r>
      <w:r w:rsidR="00BF189B">
        <w:rPr>
          <w:rFonts w:ascii="Times New Roman" w:hAnsi="Times New Roman"/>
          <w:sz w:val="24"/>
          <w:szCs w:val="24"/>
        </w:rPr>
        <w:t>32</w:t>
      </w:r>
      <w:r w:rsidRPr="00B47801">
        <w:rPr>
          <w:rFonts w:ascii="Times New Roman" w:hAnsi="Times New Roman"/>
          <w:sz w:val="24"/>
          <w:szCs w:val="24"/>
        </w:rPr>
        <w:t>%. Em Coimbra, é possível obter apenas uma observação de skill premium entre 1730-1770. Em Lisboa, as fontes só adquirem alguma representatividade a partir de 1730. A região onde as fontes são mais abundantes é Évora (64%), que é também a região menos populosa</w:t>
      </w:r>
      <w:r w:rsidR="00BF189B">
        <w:rPr>
          <w:rFonts w:ascii="Times New Roman" w:hAnsi="Times New Roman"/>
          <w:sz w:val="24"/>
          <w:szCs w:val="24"/>
        </w:rPr>
        <w:t>.</w:t>
      </w:r>
      <w:r w:rsidRPr="00B47801">
        <w:rPr>
          <w:rFonts w:ascii="Times New Roman" w:hAnsi="Times New Roman"/>
          <w:sz w:val="24"/>
          <w:szCs w:val="24"/>
        </w:rPr>
        <w:t xml:space="preserve"> </w:t>
      </w:r>
    </w:p>
    <w:p w14:paraId="7F813EA2" w14:textId="77777777" w:rsidR="00A94003" w:rsidRPr="00B47801" w:rsidRDefault="00A94003" w:rsidP="00BF189B">
      <w:pPr>
        <w:spacing w:line="276" w:lineRule="auto"/>
        <w:ind w:firstLine="142"/>
        <w:rPr>
          <w:rFonts w:ascii="Times New Roman" w:hAnsi="Times New Roman"/>
          <w:sz w:val="24"/>
          <w:szCs w:val="24"/>
        </w:rPr>
      </w:pPr>
    </w:p>
    <w:p w14:paraId="455FC20F" w14:textId="00458809" w:rsidR="00A94003" w:rsidRPr="0066403D" w:rsidRDefault="00A94003" w:rsidP="008906F1">
      <w:pPr>
        <w:spacing w:line="480" w:lineRule="auto"/>
        <w:ind w:left="-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66403D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66403D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66403D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66403D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BF189B" w:rsidRPr="0066403D">
        <w:rPr>
          <w:rFonts w:ascii="Times New Roman" w:hAnsi="Times New Roman"/>
          <w:b/>
          <w:bCs/>
          <w:noProof/>
          <w:sz w:val="22"/>
          <w:szCs w:val="22"/>
        </w:rPr>
        <w:t>8</w:t>
      </w:r>
      <w:r w:rsidRPr="0066403D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66403D">
        <w:rPr>
          <w:rFonts w:ascii="Times New Roman" w:hAnsi="Times New Roman"/>
          <w:b/>
          <w:bCs/>
          <w:sz w:val="22"/>
          <w:szCs w:val="22"/>
        </w:rPr>
        <w:t xml:space="preserve">: Skill Premium Nacional (Representatividade das Fontes) </w:t>
      </w:r>
    </w:p>
    <w:p w14:paraId="082BB4FF" w14:textId="081291C1" w:rsidR="007817F5" w:rsidRPr="00B47801" w:rsidRDefault="00A94003" w:rsidP="008906F1">
      <w:pPr>
        <w:spacing w:line="48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780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7EBB8C" wp14:editId="58F9F4F4">
            <wp:extent cx="5731510" cy="36093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5459" w14:textId="3B265DA6" w:rsidR="00E76218" w:rsidRPr="0066403D" w:rsidRDefault="00B47801" w:rsidP="008906F1">
      <w:pPr>
        <w:spacing w:line="480" w:lineRule="auto"/>
        <w:ind w:left="-142"/>
        <w:jc w:val="center"/>
        <w:rPr>
          <w:rFonts w:ascii="Times New Roman" w:hAnsi="Times New Roman"/>
          <w:sz w:val="22"/>
          <w:szCs w:val="22"/>
        </w:rPr>
      </w:pPr>
      <w:r w:rsidRPr="0066403D">
        <w:rPr>
          <w:rFonts w:ascii="Times New Roman" w:hAnsi="Times New Roman"/>
          <w:b/>
          <w:bCs/>
          <w:sz w:val="22"/>
          <w:szCs w:val="22"/>
        </w:rPr>
        <w:t xml:space="preserve">Fonte: </w:t>
      </w:r>
      <w:r w:rsidRPr="0066403D">
        <w:rPr>
          <w:rFonts w:ascii="Times New Roman" w:hAnsi="Times New Roman"/>
          <w:sz w:val="22"/>
          <w:szCs w:val="22"/>
        </w:rPr>
        <w:t>PWR</w:t>
      </w:r>
    </w:p>
    <w:p w14:paraId="7304FD05" w14:textId="77777777" w:rsidR="00BF189B" w:rsidRPr="00BF189B" w:rsidRDefault="00BF189B" w:rsidP="00BF189B">
      <w:pPr>
        <w:spacing w:line="240" w:lineRule="auto"/>
        <w:ind w:left="-142"/>
        <w:jc w:val="center"/>
        <w:rPr>
          <w:rFonts w:ascii="Times New Roman" w:hAnsi="Times New Roman"/>
          <w:b/>
          <w:bCs/>
        </w:rPr>
      </w:pPr>
    </w:p>
    <w:p w14:paraId="03D79BD2" w14:textId="0F751813" w:rsidR="00BF189B" w:rsidRPr="00B47801" w:rsidRDefault="0066403D" w:rsidP="00BF189B">
      <w:pPr>
        <w:spacing w:line="48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F189B">
        <w:rPr>
          <w:rFonts w:ascii="Times New Roman" w:hAnsi="Times New Roman"/>
          <w:sz w:val="24"/>
          <w:szCs w:val="24"/>
        </w:rPr>
        <w:t xml:space="preserve"> </w:t>
      </w:r>
      <w:r w:rsidR="00BF189B" w:rsidRPr="00B47801">
        <w:rPr>
          <w:rFonts w:ascii="Times New Roman" w:hAnsi="Times New Roman"/>
          <w:sz w:val="24"/>
          <w:szCs w:val="24"/>
        </w:rPr>
        <w:t>carência observacional ao nível das fontes aconselha</w:t>
      </w:r>
      <w:r w:rsidR="00BF189B">
        <w:rPr>
          <w:rFonts w:ascii="Times New Roman" w:hAnsi="Times New Roman"/>
          <w:sz w:val="24"/>
          <w:szCs w:val="24"/>
        </w:rPr>
        <w:t xml:space="preserve"> que o impacto do </w:t>
      </w:r>
      <w:r w:rsidR="00BF189B" w:rsidRPr="00B47801">
        <w:rPr>
          <w:rFonts w:ascii="Times New Roman" w:hAnsi="Times New Roman"/>
          <w:sz w:val="24"/>
          <w:szCs w:val="24"/>
        </w:rPr>
        <w:t>skill premium</w:t>
      </w:r>
      <w:r w:rsidR="00BF189B">
        <w:rPr>
          <w:rFonts w:ascii="Times New Roman" w:hAnsi="Times New Roman"/>
          <w:sz w:val="24"/>
          <w:szCs w:val="24"/>
        </w:rPr>
        <w:t xml:space="preserve"> na aplicação da expressão </w:t>
      </w:r>
      <w:r w:rsidR="00BF189B" w:rsidRPr="00BF189B">
        <w:rPr>
          <w:rFonts w:ascii="Times New Roman" w:hAnsi="Times New Roman"/>
          <w:sz w:val="24"/>
          <w:szCs w:val="24"/>
        </w:rPr>
        <w:t>1c), 1d) e 1e)</w:t>
      </w:r>
      <w:r w:rsidR="00BF189B">
        <w:rPr>
          <w:rFonts w:ascii="Times New Roman" w:hAnsi="Times New Roman"/>
          <w:sz w:val="24"/>
          <w:szCs w:val="24"/>
        </w:rPr>
        <w:t xml:space="preserve"> seja </w:t>
      </w:r>
      <w:r>
        <w:rPr>
          <w:rFonts w:ascii="Times New Roman" w:hAnsi="Times New Roman"/>
          <w:sz w:val="24"/>
          <w:szCs w:val="24"/>
        </w:rPr>
        <w:t xml:space="preserve">isolado e comparado com um cenário em que o skill premium seja invariável. Deste modo, nos </w:t>
      </w:r>
      <w:r w:rsidR="00BF189B" w:rsidRPr="0066403D">
        <w:rPr>
          <w:rFonts w:ascii="Times New Roman" w:hAnsi="Times New Roman"/>
          <w:sz w:val="24"/>
          <w:szCs w:val="24"/>
        </w:rPr>
        <w:t xml:space="preserve">períodos analisados, i.e., 1600-1750, 1750-1813, 1813-1850, foram </w:t>
      </w:r>
      <w:r>
        <w:rPr>
          <w:rFonts w:ascii="Times New Roman" w:hAnsi="Times New Roman"/>
          <w:sz w:val="24"/>
          <w:szCs w:val="24"/>
        </w:rPr>
        <w:t xml:space="preserve">analisados </w:t>
      </w:r>
      <w:r w:rsidR="00BF189B" w:rsidRPr="0066403D">
        <w:rPr>
          <w:rFonts w:ascii="Times New Roman" w:hAnsi="Times New Roman"/>
          <w:sz w:val="24"/>
          <w:szCs w:val="24"/>
        </w:rPr>
        <w:t>dois cenários</w:t>
      </w:r>
      <w:r>
        <w:rPr>
          <w:rFonts w:ascii="Times New Roman" w:hAnsi="Times New Roman"/>
          <w:sz w:val="24"/>
          <w:szCs w:val="24"/>
        </w:rPr>
        <w:t xml:space="preserve"> de skill premium</w:t>
      </w:r>
      <w:r w:rsidR="00BF189B" w:rsidRPr="0066403D">
        <w:rPr>
          <w:rFonts w:ascii="Times New Roman" w:hAnsi="Times New Roman"/>
          <w:sz w:val="24"/>
          <w:szCs w:val="24"/>
        </w:rPr>
        <w:t xml:space="preserve">. No primeiro cenário, considerou-se o skill premium que decorre da metodologia apresentada, ou seja, um skill premium variável. No segundo, considerou-se um skill premium constante e assumiu-se o </w:t>
      </w:r>
      <w:r w:rsidR="00BF189B" w:rsidRPr="0066403D">
        <w:rPr>
          <w:rFonts w:ascii="Times New Roman" w:hAnsi="Times New Roman"/>
          <w:sz w:val="24"/>
          <w:szCs w:val="24"/>
        </w:rPr>
        <w:lastRenderedPageBreak/>
        <w:t>valor médio d</w:t>
      </w:r>
      <w:r>
        <w:rPr>
          <w:rFonts w:ascii="Times New Roman" w:hAnsi="Times New Roman"/>
          <w:sz w:val="24"/>
          <w:szCs w:val="24"/>
        </w:rPr>
        <w:t>o</w:t>
      </w:r>
      <w:r w:rsidR="00BF189B" w:rsidRPr="0066403D">
        <w:rPr>
          <w:rFonts w:ascii="Times New Roman" w:hAnsi="Times New Roman"/>
          <w:sz w:val="24"/>
          <w:szCs w:val="24"/>
        </w:rPr>
        <w:t xml:space="preserve"> período. Deste modo, é possível isolar o efeito do skill premium na aplicação das expressões </w:t>
      </w:r>
      <w:r>
        <w:rPr>
          <w:rFonts w:ascii="Times New Roman" w:hAnsi="Times New Roman"/>
          <w:sz w:val="24"/>
          <w:szCs w:val="24"/>
        </w:rPr>
        <w:t xml:space="preserve">discutidas na secção 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_Ref138240546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 w:rsidR="00BF189B" w:rsidRPr="0066403D">
        <w:rPr>
          <w:rFonts w:ascii="Times New Roman" w:hAnsi="Times New Roman"/>
          <w:sz w:val="24"/>
          <w:szCs w:val="24"/>
        </w:rPr>
        <w:t>.</w:t>
      </w:r>
      <w:r w:rsidR="00BF189B" w:rsidRPr="00B47801">
        <w:rPr>
          <w:rFonts w:ascii="Times New Roman" w:hAnsi="Times New Roman"/>
          <w:sz w:val="24"/>
          <w:szCs w:val="24"/>
        </w:rPr>
        <w:t xml:space="preserve"> </w:t>
      </w:r>
    </w:p>
    <w:p w14:paraId="6C254B94" w14:textId="77777777" w:rsidR="00B47801" w:rsidRDefault="00B47801" w:rsidP="0066403D">
      <w:pPr>
        <w:spacing w:line="276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3877EF" w14:textId="07FDA1BE" w:rsidR="007817F5" w:rsidRPr="0066403D" w:rsidRDefault="007817F5" w:rsidP="008906F1">
      <w:pPr>
        <w:spacing w:line="480" w:lineRule="auto"/>
        <w:ind w:left="-142"/>
        <w:jc w:val="center"/>
        <w:rPr>
          <w:rFonts w:ascii="Times New Roman" w:hAnsi="Times New Roman"/>
          <w:b/>
          <w:bCs/>
          <w:sz w:val="22"/>
          <w:szCs w:val="22"/>
        </w:rPr>
      </w:pPr>
      <w:r w:rsidRPr="0066403D">
        <w:rPr>
          <w:rFonts w:ascii="Times New Roman" w:hAnsi="Times New Roman"/>
          <w:b/>
          <w:bCs/>
          <w:sz w:val="22"/>
          <w:szCs w:val="22"/>
        </w:rPr>
        <w:t xml:space="preserve">Tabela </w:t>
      </w:r>
      <w:r w:rsidRPr="0066403D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66403D">
        <w:rPr>
          <w:rFonts w:ascii="Times New Roman" w:hAnsi="Times New Roman"/>
          <w:b/>
          <w:bCs/>
          <w:sz w:val="22"/>
          <w:szCs w:val="22"/>
        </w:rPr>
        <w:instrText xml:space="preserve"> SEQ Tabela \* ARABIC </w:instrText>
      </w:r>
      <w:r w:rsidRPr="0066403D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3B7CA4">
        <w:rPr>
          <w:rFonts w:ascii="Times New Roman" w:hAnsi="Times New Roman"/>
          <w:b/>
          <w:bCs/>
          <w:noProof/>
          <w:sz w:val="22"/>
          <w:szCs w:val="22"/>
        </w:rPr>
        <w:t>9</w:t>
      </w:r>
      <w:r w:rsidRPr="0066403D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66403D">
        <w:rPr>
          <w:rFonts w:ascii="Times New Roman" w:hAnsi="Times New Roman"/>
          <w:b/>
          <w:bCs/>
          <w:sz w:val="22"/>
          <w:szCs w:val="22"/>
        </w:rPr>
        <w:t xml:space="preserve">: Skill Premium nacional (médias decenais) </w:t>
      </w:r>
    </w:p>
    <w:p w14:paraId="0B277726" w14:textId="17CEC20C" w:rsidR="007817F5" w:rsidRPr="00B47801" w:rsidRDefault="000518BE" w:rsidP="008906F1">
      <w:pPr>
        <w:spacing w:line="48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4780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CD8FD5" wp14:editId="316823E0">
            <wp:extent cx="5562000" cy="3567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000" cy="35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83F7" w14:textId="63564B7A" w:rsidR="007817F5" w:rsidRPr="00EF11E1" w:rsidRDefault="00B47801" w:rsidP="008906F1">
      <w:pPr>
        <w:tabs>
          <w:tab w:val="left" w:pos="3229"/>
        </w:tabs>
        <w:spacing w:line="480" w:lineRule="auto"/>
        <w:jc w:val="center"/>
        <w:rPr>
          <w:rFonts w:ascii="Times New Roman" w:hAnsi="Times New Roman"/>
          <w:b/>
          <w:bCs/>
        </w:rPr>
      </w:pPr>
      <w:r w:rsidRPr="00EF11E1">
        <w:rPr>
          <w:rFonts w:ascii="Times New Roman" w:hAnsi="Times New Roman"/>
          <w:b/>
          <w:bCs/>
        </w:rPr>
        <w:t xml:space="preserve">Fonte: </w:t>
      </w:r>
      <w:r w:rsidRPr="0066403D">
        <w:rPr>
          <w:rFonts w:ascii="Times New Roman" w:hAnsi="Times New Roman"/>
        </w:rPr>
        <w:t>PWR e Palma, Reis &amp; Zhang (2017)</w:t>
      </w:r>
    </w:p>
    <w:p w14:paraId="3169F70C" w14:textId="77777777" w:rsidR="00B47801" w:rsidRPr="00B47801" w:rsidRDefault="00B47801" w:rsidP="0066403D">
      <w:pPr>
        <w:tabs>
          <w:tab w:val="left" w:pos="3229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AB3A9E6" w14:textId="166E269B" w:rsidR="000518BE" w:rsidRPr="0066403D" w:rsidRDefault="008C4EE9" w:rsidP="008906F1">
      <w:pPr>
        <w:pStyle w:val="Caption"/>
        <w:spacing w:line="480" w:lineRule="auto"/>
        <w:ind w:left="284"/>
        <w:jc w:val="center"/>
        <w:rPr>
          <w:rFonts w:ascii="Times New Roman" w:hAnsi="Times New Roman"/>
          <w:sz w:val="22"/>
          <w:szCs w:val="22"/>
        </w:rPr>
      </w:pPr>
      <w:r w:rsidRPr="0066403D">
        <w:rPr>
          <w:rFonts w:ascii="Times New Roman" w:hAnsi="Times New Roman"/>
          <w:sz w:val="22"/>
          <w:szCs w:val="22"/>
        </w:rPr>
        <w:t>Gráfico</w:t>
      </w:r>
      <w:r w:rsidR="000518BE" w:rsidRPr="0066403D">
        <w:rPr>
          <w:rFonts w:ascii="Times New Roman" w:hAnsi="Times New Roman"/>
          <w:sz w:val="22"/>
          <w:szCs w:val="22"/>
        </w:rPr>
        <w:t xml:space="preserve"> </w:t>
      </w:r>
      <w:r w:rsidR="000518BE" w:rsidRPr="0066403D">
        <w:rPr>
          <w:rFonts w:ascii="Times New Roman" w:hAnsi="Times New Roman"/>
          <w:sz w:val="22"/>
          <w:szCs w:val="22"/>
        </w:rPr>
        <w:fldChar w:fldCharType="begin"/>
      </w:r>
      <w:r w:rsidR="000518BE" w:rsidRPr="0066403D">
        <w:rPr>
          <w:rFonts w:ascii="Times New Roman" w:hAnsi="Times New Roman"/>
          <w:sz w:val="22"/>
          <w:szCs w:val="22"/>
        </w:rPr>
        <w:instrText xml:space="preserve"> SEQ Quadro \* ARABIC </w:instrText>
      </w:r>
      <w:r w:rsidR="000518BE" w:rsidRPr="0066403D">
        <w:rPr>
          <w:rFonts w:ascii="Times New Roman" w:hAnsi="Times New Roman"/>
          <w:sz w:val="22"/>
          <w:szCs w:val="22"/>
        </w:rPr>
        <w:fldChar w:fldCharType="separate"/>
      </w:r>
      <w:r w:rsidR="003B7CA4">
        <w:rPr>
          <w:rFonts w:ascii="Times New Roman" w:hAnsi="Times New Roman"/>
          <w:noProof/>
          <w:sz w:val="22"/>
          <w:szCs w:val="22"/>
        </w:rPr>
        <w:t>5</w:t>
      </w:r>
      <w:r w:rsidR="000518BE" w:rsidRPr="0066403D">
        <w:rPr>
          <w:rFonts w:ascii="Times New Roman" w:hAnsi="Times New Roman"/>
          <w:sz w:val="22"/>
          <w:szCs w:val="22"/>
        </w:rPr>
        <w:fldChar w:fldCharType="end"/>
      </w:r>
      <w:r w:rsidR="000518BE" w:rsidRPr="0066403D">
        <w:rPr>
          <w:rFonts w:ascii="Times New Roman" w:hAnsi="Times New Roman"/>
          <w:sz w:val="22"/>
          <w:szCs w:val="22"/>
        </w:rPr>
        <w:t xml:space="preserve">: Evolução do </w:t>
      </w:r>
      <w:r w:rsidR="00AD1E17" w:rsidRPr="0066403D">
        <w:rPr>
          <w:rFonts w:ascii="Times New Roman" w:hAnsi="Times New Roman"/>
          <w:sz w:val="22"/>
          <w:szCs w:val="22"/>
        </w:rPr>
        <w:t xml:space="preserve">Skill Premium: 1600-1845 </w:t>
      </w:r>
    </w:p>
    <w:p w14:paraId="55B860B7" w14:textId="00BD75B0" w:rsidR="007817F5" w:rsidRDefault="00E76218" w:rsidP="008906F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4780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5278A7" wp14:editId="7BCED8EF">
            <wp:extent cx="4176000" cy="273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27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28A32" w14:textId="0A75F0B2" w:rsidR="00B47801" w:rsidRPr="0066403D" w:rsidRDefault="00B47801" w:rsidP="008906F1">
      <w:pPr>
        <w:spacing w:line="48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6403D">
        <w:rPr>
          <w:rFonts w:ascii="Times New Roman" w:hAnsi="Times New Roman"/>
          <w:b/>
          <w:bCs/>
          <w:sz w:val="22"/>
          <w:szCs w:val="22"/>
        </w:rPr>
        <w:t xml:space="preserve">Fonte: </w:t>
      </w:r>
      <w:r w:rsidRPr="0066403D">
        <w:rPr>
          <w:rFonts w:ascii="Times New Roman" w:hAnsi="Times New Roman"/>
          <w:sz w:val="22"/>
          <w:szCs w:val="22"/>
        </w:rPr>
        <w:t>Ver Texto</w:t>
      </w:r>
    </w:p>
    <w:p w14:paraId="2655BF68" w14:textId="114AC3AB" w:rsidR="00E31BC5" w:rsidRPr="00730434" w:rsidRDefault="0086652D" w:rsidP="00730434">
      <w:pPr>
        <w:pStyle w:val="Heading1"/>
      </w:pPr>
      <w:bookmarkStart w:id="31" w:name="_Ref29461406"/>
      <w:bookmarkStart w:id="32" w:name="_Toc137755376"/>
      <w:r w:rsidRPr="00730434">
        <w:lastRenderedPageBreak/>
        <w:t>Bibliografia</w:t>
      </w:r>
      <w:bookmarkEnd w:id="31"/>
      <w:bookmarkEnd w:id="32"/>
      <w:r w:rsidR="002865F5" w:rsidRPr="00730434">
        <w:t xml:space="preserve"> </w:t>
      </w:r>
    </w:p>
    <w:p w14:paraId="38B41027" w14:textId="0EB77F30" w:rsidR="00694CE7" w:rsidRPr="00B47801" w:rsidRDefault="00694CE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>ALLEN, R. (2001)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“The Great Divergence in European wages and prices from the Middle Ages to the WWI”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  <w:lang w:val="en-GB"/>
        </w:rPr>
        <w:t>Explorations in Economic History</w:t>
      </w:r>
      <w:r w:rsidRPr="00B47801">
        <w:rPr>
          <w:rFonts w:ascii="Times New Roman" w:hAnsi="Times New Roman"/>
          <w:sz w:val="20"/>
          <w:lang w:val="en-GB"/>
        </w:rPr>
        <w:t>, 4(1), 1-25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</w:p>
    <w:p w14:paraId="5C5EC7FF" w14:textId="206DBECC" w:rsidR="00694CE7" w:rsidRPr="00B47801" w:rsidRDefault="00694CE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>ALLEN. R. (2000)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“Economic structure and agricultural productivity in Europe, 1300-1800”</w:t>
      </w:r>
      <w:r w:rsidR="00E723A4" w:rsidRPr="00B47801">
        <w:rPr>
          <w:rFonts w:ascii="Times New Roman" w:hAnsi="Times New Roman"/>
          <w:sz w:val="20"/>
          <w:lang w:val="en-GB"/>
        </w:rPr>
        <w:t xml:space="preserve">. </w:t>
      </w:r>
      <w:r w:rsidRPr="00B47801">
        <w:rPr>
          <w:rFonts w:ascii="Times New Roman" w:hAnsi="Times New Roman"/>
          <w:i/>
          <w:iCs/>
          <w:sz w:val="20"/>
          <w:lang w:val="en-GB"/>
        </w:rPr>
        <w:t>European Review of Economic History</w:t>
      </w:r>
      <w:r w:rsidRPr="00B47801">
        <w:rPr>
          <w:rFonts w:ascii="Times New Roman" w:hAnsi="Times New Roman"/>
          <w:sz w:val="20"/>
          <w:lang w:val="en-GB"/>
        </w:rPr>
        <w:t>, 3 (1), 1-25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</w:p>
    <w:p w14:paraId="675CB024" w14:textId="733440A9" w:rsidR="00694CE7" w:rsidRPr="00B47801" w:rsidRDefault="00694CE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</w:rPr>
        <w:t>ALVAREZ-NOGAL, C.</w:t>
      </w:r>
      <w:r w:rsidR="009077A7" w:rsidRPr="00B47801">
        <w:rPr>
          <w:rFonts w:ascii="Times New Roman" w:hAnsi="Times New Roman"/>
          <w:sz w:val="20"/>
        </w:rPr>
        <w:t xml:space="preserve"> &amp;</w:t>
      </w:r>
      <w:r w:rsidRPr="00B47801">
        <w:rPr>
          <w:rFonts w:ascii="Times New Roman" w:hAnsi="Times New Roman"/>
          <w:sz w:val="20"/>
        </w:rPr>
        <w:t xml:space="preserve"> </w:t>
      </w:r>
      <w:r w:rsidR="009077A7" w:rsidRPr="00B47801">
        <w:rPr>
          <w:rFonts w:ascii="Times New Roman" w:hAnsi="Times New Roman"/>
          <w:sz w:val="20"/>
        </w:rPr>
        <w:t xml:space="preserve">P. </w:t>
      </w:r>
      <w:r w:rsidRPr="00B47801">
        <w:rPr>
          <w:rFonts w:ascii="Times New Roman" w:hAnsi="Times New Roman"/>
          <w:sz w:val="20"/>
        </w:rPr>
        <w:t xml:space="preserve"> ESCOSURA, L. (2013)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sz w:val="20"/>
          <w:lang w:val="en-GB"/>
        </w:rPr>
        <w:t>“The rise and fall of Spain (1270-1850)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="0082726B" w:rsidRPr="00B47801">
        <w:rPr>
          <w:rFonts w:ascii="Times New Roman" w:hAnsi="Times New Roman"/>
          <w:sz w:val="20"/>
          <w:lang w:val="en-GB"/>
        </w:rPr>
        <w:t>”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  <w:lang w:val="en-GB"/>
        </w:rPr>
        <w:t>Economic History Review</w:t>
      </w:r>
      <w:r w:rsidRPr="00B47801">
        <w:rPr>
          <w:rFonts w:ascii="Times New Roman" w:hAnsi="Times New Roman"/>
          <w:sz w:val="20"/>
          <w:lang w:val="en-GB"/>
        </w:rPr>
        <w:t>, 66, 1-37</w:t>
      </w:r>
      <w:r w:rsidR="009077A7" w:rsidRPr="00B47801">
        <w:rPr>
          <w:rFonts w:ascii="Times New Roman" w:hAnsi="Times New Roman"/>
          <w:sz w:val="20"/>
          <w:lang w:val="en-GB"/>
        </w:rPr>
        <w:t>.</w:t>
      </w:r>
    </w:p>
    <w:p w14:paraId="30D55620" w14:textId="063CA3F3" w:rsidR="008C4EE9" w:rsidRPr="00B47801" w:rsidRDefault="008C4EE9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ARAÚJO, A. (1995). </w:t>
      </w:r>
      <w:r w:rsidRPr="00B47801">
        <w:rPr>
          <w:rFonts w:ascii="Times New Roman" w:hAnsi="Times New Roman"/>
          <w:i/>
          <w:iCs/>
          <w:sz w:val="20"/>
        </w:rPr>
        <w:t>A Morte em Lisboa. Atitudes e Representações (1700-1832)</w:t>
      </w:r>
      <w:r w:rsidRPr="00B47801">
        <w:rPr>
          <w:rFonts w:ascii="Times New Roman" w:hAnsi="Times New Roman"/>
          <w:sz w:val="20"/>
        </w:rPr>
        <w:t>. Tese de Doutoramento, Universidade de Coimbra.</w:t>
      </w:r>
    </w:p>
    <w:p w14:paraId="55BA0C27" w14:textId="21882E31" w:rsidR="00C42904" w:rsidRPr="00B47801" w:rsidRDefault="00C42904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>BROADBERRY</w:t>
      </w:r>
      <w:r w:rsidR="009807C2" w:rsidRPr="00B47801">
        <w:rPr>
          <w:rFonts w:ascii="Times New Roman" w:hAnsi="Times New Roman"/>
          <w:sz w:val="20"/>
          <w:lang w:val="en-GB"/>
        </w:rPr>
        <w:t>, S., CAMPBELL, B., KLEIN, A. OVERTON, M. &amp; LEEUWEN, B.</w:t>
      </w:r>
      <w:r w:rsidRPr="00B47801">
        <w:rPr>
          <w:rFonts w:ascii="Times New Roman" w:hAnsi="Times New Roman"/>
          <w:sz w:val="20"/>
          <w:lang w:val="en-GB"/>
        </w:rPr>
        <w:t xml:space="preserve"> (2015)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  <w:lang w:val="en-GB"/>
        </w:rPr>
        <w:t>British Economic Growth</w:t>
      </w:r>
      <w:r w:rsidRPr="00B47801">
        <w:rPr>
          <w:rFonts w:ascii="Times New Roman" w:hAnsi="Times New Roman"/>
          <w:sz w:val="20"/>
          <w:lang w:val="en-GB"/>
        </w:rPr>
        <w:t xml:space="preserve">, 1270-1870. Cambridge University Press. </w:t>
      </w:r>
    </w:p>
    <w:p w14:paraId="54785CCE" w14:textId="03AE229F" w:rsidR="00C42904" w:rsidRPr="00B47801" w:rsidRDefault="00C42904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>BROADBERRY, S &amp; FOUQUET, R. (2015), “Seven Centuries of European Economic Growth and Decline”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  <w:lang w:val="en-GB"/>
        </w:rPr>
        <w:t>Journal of Economic Perspectives</w:t>
      </w:r>
      <w:r w:rsidR="0082726B" w:rsidRPr="00B47801">
        <w:rPr>
          <w:rFonts w:ascii="Times New Roman" w:hAnsi="Times New Roman"/>
          <w:i/>
          <w:iCs/>
          <w:sz w:val="20"/>
          <w:lang w:val="en-GB"/>
        </w:rPr>
        <w:t>,</w:t>
      </w:r>
      <w:r w:rsidRPr="00B47801">
        <w:rPr>
          <w:rFonts w:ascii="Times New Roman" w:hAnsi="Times New Roman"/>
          <w:sz w:val="20"/>
          <w:lang w:val="en-GB"/>
        </w:rPr>
        <w:t xml:space="preserve"> 29(4), 227–44. </w:t>
      </w:r>
    </w:p>
    <w:p w14:paraId="188616A1" w14:textId="0169AD6E" w:rsidR="0082726B" w:rsidRPr="00B47801" w:rsidRDefault="0082726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</w:rPr>
        <w:t>CARVALHAL, H. &amp; SILVA, F. R. (2020)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sz w:val="20"/>
          <w:lang w:val="en-GB"/>
        </w:rPr>
        <w:t>“Reconsidering the Southern European Model: Marital Status, Women's Work and Labour Relations in mid-Eighteenth-century Portugal”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  <w:lang w:val="en-GB"/>
        </w:rPr>
        <w:t xml:space="preserve">Journal of Iberian and Latin American Economic History / Revista de História </w:t>
      </w:r>
      <w:proofErr w:type="spellStart"/>
      <w:r w:rsidRPr="00B47801">
        <w:rPr>
          <w:rFonts w:ascii="Times New Roman" w:hAnsi="Times New Roman"/>
          <w:i/>
          <w:iCs/>
          <w:sz w:val="20"/>
          <w:lang w:val="en-GB"/>
        </w:rPr>
        <w:t>Económica</w:t>
      </w:r>
      <w:proofErr w:type="spellEnd"/>
      <w:r w:rsidRPr="00B47801">
        <w:rPr>
          <w:rFonts w:ascii="Times New Roman" w:hAnsi="Times New Roman"/>
          <w:sz w:val="20"/>
          <w:lang w:val="en-GB"/>
        </w:rPr>
        <w:t>, 38(1), 45 – 77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</w:p>
    <w:p w14:paraId="5AB37095" w14:textId="292D634D" w:rsidR="00694CE7" w:rsidRPr="00B47801" w:rsidRDefault="00694CE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COSTA, L., LAINS, P. &amp; MIRANDA, S. (2011)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História Economica de Portugal, 1143-2010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Lisboa, Esfera dos Livros</w:t>
      </w:r>
      <w:r w:rsidR="00C57986" w:rsidRPr="00B47801">
        <w:rPr>
          <w:rFonts w:ascii="Times New Roman" w:hAnsi="Times New Roman"/>
          <w:sz w:val="20"/>
        </w:rPr>
        <w:t>.</w:t>
      </w:r>
    </w:p>
    <w:p w14:paraId="1E81FB6A" w14:textId="424624DA" w:rsidR="00D700BE" w:rsidRPr="00B47801" w:rsidRDefault="00D700BE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CRUZ, A. (1970). </w:t>
      </w:r>
      <w:r w:rsidRPr="00B47801">
        <w:rPr>
          <w:rFonts w:ascii="Times New Roman" w:hAnsi="Times New Roman"/>
          <w:i/>
          <w:iCs/>
          <w:sz w:val="20"/>
        </w:rPr>
        <w:t>Geografia e Economia da Província do Minho</w:t>
      </w:r>
      <w:r w:rsidRPr="00B47801">
        <w:rPr>
          <w:rFonts w:ascii="Times New Roman" w:hAnsi="Times New Roman"/>
          <w:sz w:val="20"/>
        </w:rPr>
        <w:t>. Porto, Centro de Estudos Humanísticos, F. L. U. P.</w:t>
      </w:r>
    </w:p>
    <w:p w14:paraId="2877432C" w14:textId="396E2A73" w:rsidR="00C57986" w:rsidRPr="00B47801" w:rsidRDefault="00C57986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FAÍSCA, C. (2012). “O preço da crise: níveis de vida no Portugal seiscentista”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Revista de História da Sociedade e da Cultura</w:t>
      </w:r>
      <w:r w:rsidRPr="00B47801">
        <w:rPr>
          <w:rFonts w:ascii="Times New Roman" w:hAnsi="Times New Roman"/>
          <w:sz w:val="20"/>
        </w:rPr>
        <w:t>, 12, 245-263.</w:t>
      </w:r>
    </w:p>
    <w:p w14:paraId="711A80A0" w14:textId="067815CD" w:rsidR="0082726B" w:rsidRPr="00B47801" w:rsidRDefault="0082726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FERREIRA Da SILVA, A. (1987), “Família e trabalho doméstico no hinterland de Lisboa: Oeiras, 1763-1810”, Análise Social, XXIII(97), 531-562</w:t>
      </w:r>
    </w:p>
    <w:p w14:paraId="07F0F3C5" w14:textId="4D0A4CE2" w:rsidR="00E3679A" w:rsidRPr="00B47801" w:rsidRDefault="00E3679A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  <w:lang w:val="en-GB"/>
        </w:rPr>
        <w:t>HUMPHRIES, J., HORRELL, S. &amp; WEISDORF, J. (2022). “Beyond the male breadwinner: Life‐cycle living standards of intact and disrupted English working families, 1260–1850”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Economic History Review</w:t>
      </w:r>
      <w:r w:rsidRPr="00B47801">
        <w:rPr>
          <w:rFonts w:ascii="Times New Roman" w:hAnsi="Times New Roman"/>
          <w:sz w:val="20"/>
        </w:rPr>
        <w:t>, 75(2), 530-560</w:t>
      </w:r>
      <w:r w:rsidR="00A00DD1" w:rsidRPr="00B47801">
        <w:rPr>
          <w:rFonts w:ascii="Times New Roman" w:hAnsi="Times New Roman"/>
          <w:sz w:val="20"/>
        </w:rPr>
        <w:t>.</w:t>
      </w:r>
    </w:p>
    <w:p w14:paraId="5C6B8C51" w14:textId="7639BAE1" w:rsidR="00E3679A" w:rsidRPr="00B47801" w:rsidRDefault="00E3679A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  <w:lang w:val="en-GB"/>
        </w:rPr>
        <w:t>HUMPHRIES, J. &amp; WEISDORF, J. (201</w:t>
      </w:r>
      <w:r w:rsidR="009077A7" w:rsidRPr="00B47801">
        <w:rPr>
          <w:rFonts w:ascii="Times New Roman" w:hAnsi="Times New Roman"/>
          <w:sz w:val="20"/>
          <w:lang w:val="en-GB"/>
        </w:rPr>
        <w:t>8</w:t>
      </w:r>
      <w:r w:rsidRPr="00B47801">
        <w:rPr>
          <w:rFonts w:ascii="Times New Roman" w:hAnsi="Times New Roman"/>
          <w:sz w:val="20"/>
          <w:lang w:val="en-GB"/>
        </w:rPr>
        <w:t>). “Unreal wages? Real income and economic growth in England, 1260-1850”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The Economic Journal,</w:t>
      </w:r>
      <w:r w:rsidRPr="00B47801">
        <w:rPr>
          <w:rFonts w:ascii="Times New Roman" w:hAnsi="Times New Roman"/>
          <w:sz w:val="20"/>
        </w:rPr>
        <w:t xml:space="preserve"> 129(623), 2867–87</w:t>
      </w:r>
      <w:r w:rsidR="00E723A4" w:rsidRPr="00B47801">
        <w:rPr>
          <w:rFonts w:ascii="Times New Roman" w:hAnsi="Times New Roman"/>
          <w:sz w:val="20"/>
        </w:rPr>
        <w:t>.</w:t>
      </w:r>
    </w:p>
    <w:p w14:paraId="0F535F89" w14:textId="770DE55F" w:rsidR="00694CE7" w:rsidRPr="00B47801" w:rsidRDefault="00694CE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bookmarkStart w:id="33" w:name="_Hlk134312889"/>
      <w:r w:rsidRPr="00B47801">
        <w:rPr>
          <w:rFonts w:ascii="Times New Roman" w:hAnsi="Times New Roman"/>
          <w:sz w:val="20"/>
          <w:lang w:val="en-GB"/>
        </w:rPr>
        <w:t>HUMPHRIES, J. &amp; SARASÚA, C. (2012)</w:t>
      </w:r>
      <w:bookmarkEnd w:id="33"/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“Off the Record: Reconstructing Women's Labour Force Participation in the European Past”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  <w:lang w:val="en-GB"/>
        </w:rPr>
        <w:t>Feminist Economics,</w:t>
      </w:r>
      <w:r w:rsidRPr="00B47801">
        <w:rPr>
          <w:rFonts w:ascii="Times New Roman" w:hAnsi="Times New Roman"/>
          <w:sz w:val="20"/>
          <w:lang w:val="en-GB"/>
        </w:rPr>
        <w:t xml:space="preserve"> 18 (4), 39-67</w:t>
      </w:r>
      <w:r w:rsidR="00E723A4" w:rsidRPr="00B47801">
        <w:rPr>
          <w:rFonts w:ascii="Times New Roman" w:hAnsi="Times New Roman"/>
          <w:sz w:val="20"/>
          <w:lang w:val="en-GB"/>
        </w:rPr>
        <w:t>.</w:t>
      </w:r>
    </w:p>
    <w:p w14:paraId="16DBD4BD" w14:textId="3067549E" w:rsidR="008C4EE9" w:rsidRPr="00B47801" w:rsidRDefault="008C4EE9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JORGE, R. (1898). </w:t>
      </w:r>
      <w:r w:rsidRPr="00B47801">
        <w:rPr>
          <w:rFonts w:ascii="Times New Roman" w:hAnsi="Times New Roman"/>
          <w:i/>
          <w:iCs/>
          <w:sz w:val="20"/>
        </w:rPr>
        <w:t>Demografia e Hygiene na cidade do Porto. Clima, População , Mortalidade</w:t>
      </w:r>
      <w:r w:rsidRPr="00B47801">
        <w:rPr>
          <w:rFonts w:ascii="Times New Roman" w:hAnsi="Times New Roman"/>
          <w:sz w:val="20"/>
        </w:rPr>
        <w:t>. Porto. Annuario do Serviço Municipal de Saúde e Hygiene da cidade do Porto.</w:t>
      </w:r>
    </w:p>
    <w:p w14:paraId="6EB4EB8D" w14:textId="45FAC829" w:rsidR="00694CE7" w:rsidRPr="00B47801" w:rsidRDefault="00694CE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JUSTINO, D. (1988)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A Formação do Espaço Económico Nacional</w:t>
      </w:r>
      <w:r w:rsidRPr="00B47801">
        <w:rPr>
          <w:rFonts w:ascii="Times New Roman" w:hAnsi="Times New Roman"/>
          <w:sz w:val="20"/>
        </w:rPr>
        <w:t xml:space="preserve">, 1810-1913. Lisboa, </w:t>
      </w:r>
      <w:r w:rsidR="00E723A4" w:rsidRPr="00B47801">
        <w:rPr>
          <w:rFonts w:ascii="Times New Roman" w:hAnsi="Times New Roman"/>
          <w:sz w:val="20"/>
        </w:rPr>
        <w:t>Veja.</w:t>
      </w:r>
      <w:r w:rsidRPr="00B47801">
        <w:rPr>
          <w:rFonts w:ascii="Times New Roman" w:hAnsi="Times New Roman"/>
          <w:sz w:val="20"/>
        </w:rPr>
        <w:t xml:space="preserve"> </w:t>
      </w:r>
    </w:p>
    <w:p w14:paraId="4C41F154" w14:textId="6508E708" w:rsidR="007B57C0" w:rsidRPr="00B47801" w:rsidRDefault="007B57C0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LAINS, P. (2003)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Os Progressos do Atraso. Uma Nova História Económica de Portugal. 1842-1992</w:t>
      </w:r>
      <w:r w:rsidRPr="00B47801">
        <w:rPr>
          <w:rFonts w:ascii="Times New Roman" w:hAnsi="Times New Roman"/>
          <w:sz w:val="20"/>
        </w:rPr>
        <w:t>. Lisboa, ICS</w:t>
      </w:r>
      <w:r w:rsidR="00A00DD1" w:rsidRPr="00B47801">
        <w:rPr>
          <w:rFonts w:ascii="Times New Roman" w:hAnsi="Times New Roman"/>
          <w:sz w:val="20"/>
        </w:rPr>
        <w:t>.</w:t>
      </w:r>
    </w:p>
    <w:p w14:paraId="5C9D69C5" w14:textId="0E1682ED" w:rsidR="00E15A52" w:rsidRPr="00B47801" w:rsidRDefault="00E15A52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MACEDO, J.B. (1989)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A Situação Económica no Tempo de Pombal</w:t>
      </w:r>
      <w:r w:rsidRPr="00B47801">
        <w:rPr>
          <w:rFonts w:ascii="Times New Roman" w:hAnsi="Times New Roman"/>
          <w:sz w:val="20"/>
        </w:rPr>
        <w:t xml:space="preserve">. Lisboa, Gradiva </w:t>
      </w:r>
    </w:p>
    <w:p w14:paraId="1340FA45" w14:textId="7C4851B2" w:rsidR="00E15A52" w:rsidRPr="00B47801" w:rsidRDefault="00E15A52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MACEDO, J.B. (1982)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Problemas da Indústria Portuguesa do Século XVIII</w:t>
      </w:r>
      <w:r w:rsidRPr="00B47801">
        <w:rPr>
          <w:rFonts w:ascii="Times New Roman" w:hAnsi="Times New Roman"/>
          <w:sz w:val="20"/>
        </w:rPr>
        <w:t xml:space="preserve">, Lisboa, Querco  </w:t>
      </w:r>
    </w:p>
    <w:p w14:paraId="49ACCAB1" w14:textId="486D9B6F" w:rsidR="006F034F" w:rsidRPr="00B47801" w:rsidRDefault="006F034F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lastRenderedPageBreak/>
        <w:t>MADUREIRA, N. L. &amp; MATOS, A. C. (2005)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“a Tecnologia”. In P. LAINS, P.&amp; A. FERREIRA DA SIVA (Ed.), </w:t>
      </w:r>
      <w:r w:rsidRPr="00B47801">
        <w:rPr>
          <w:rFonts w:ascii="Times New Roman" w:hAnsi="Times New Roman"/>
          <w:i/>
          <w:iCs/>
          <w:sz w:val="20"/>
        </w:rPr>
        <w:t>História Económica de Portugal: o século XVIII</w:t>
      </w:r>
      <w:r w:rsidRPr="00B47801">
        <w:rPr>
          <w:rFonts w:ascii="Times New Roman" w:hAnsi="Times New Roman"/>
          <w:sz w:val="20"/>
        </w:rPr>
        <w:t>.  Lisboa, ICS, pp. 123-44</w:t>
      </w:r>
    </w:p>
    <w:p w14:paraId="6AEF2CDE" w14:textId="566DF72F" w:rsidR="00AD5FDB" w:rsidRPr="00B47801" w:rsidRDefault="00AD5FD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MADUREIRA, N. L. (1997). “Consumo, Preços e Salários (1760-1830).” </w:t>
      </w:r>
      <w:r w:rsidRPr="00B47801">
        <w:rPr>
          <w:rFonts w:ascii="Times New Roman" w:hAnsi="Times New Roman"/>
          <w:i/>
          <w:iCs/>
          <w:sz w:val="20"/>
        </w:rPr>
        <w:t>Ler História</w:t>
      </w:r>
      <w:r w:rsidRPr="00B47801">
        <w:rPr>
          <w:rFonts w:ascii="Times New Roman" w:hAnsi="Times New Roman"/>
          <w:sz w:val="20"/>
        </w:rPr>
        <w:t>, 32, 5-29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</w:p>
    <w:p w14:paraId="52283111" w14:textId="3E6B7A11" w:rsidR="00AD5FDB" w:rsidRPr="00B47801" w:rsidRDefault="00AD5FD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</w:rPr>
        <w:t>MADUREIRA, N.L. (1997)</w:t>
      </w:r>
      <w:r w:rsidR="00E723A4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Mercado e Privilégios. A Indústria Portuguesa entre 1750 e 1834</w:t>
      </w:r>
      <w:r w:rsidRPr="00B47801">
        <w:rPr>
          <w:rFonts w:ascii="Times New Roman" w:hAnsi="Times New Roman"/>
          <w:sz w:val="20"/>
        </w:rPr>
        <w:t xml:space="preserve">. </w:t>
      </w:r>
      <w:r w:rsidRPr="00B47801">
        <w:rPr>
          <w:rFonts w:ascii="Times New Roman" w:hAnsi="Times New Roman"/>
          <w:sz w:val="20"/>
          <w:lang w:val="en-GB"/>
        </w:rPr>
        <w:t>Lisboa, Editorial Estampa</w:t>
      </w:r>
      <w:r w:rsidR="00A00DD1" w:rsidRPr="00B47801">
        <w:rPr>
          <w:rFonts w:ascii="Times New Roman" w:hAnsi="Times New Roman"/>
          <w:sz w:val="20"/>
          <w:lang w:val="en-GB"/>
        </w:rPr>
        <w:t>.</w:t>
      </w:r>
    </w:p>
    <w:p w14:paraId="3073248D" w14:textId="6C8B0301" w:rsidR="00C57986" w:rsidRPr="00B47801" w:rsidRDefault="00C57986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 xml:space="preserve">MALANIMA, P. (2010). “Urbanization 1700-1870”, In </w:t>
      </w:r>
      <w:r w:rsidR="006F034F" w:rsidRPr="00B47801">
        <w:rPr>
          <w:rFonts w:ascii="Times New Roman" w:hAnsi="Times New Roman"/>
          <w:sz w:val="20"/>
          <w:lang w:val="en-GB"/>
        </w:rPr>
        <w:t xml:space="preserve">S. BROADBERRY &amp; K. O’ROURKE, </w:t>
      </w:r>
      <w:r w:rsidRPr="00B47801">
        <w:rPr>
          <w:rFonts w:ascii="Times New Roman" w:hAnsi="Times New Roman"/>
          <w:i/>
          <w:iCs/>
          <w:sz w:val="20"/>
          <w:lang w:val="en-GB"/>
        </w:rPr>
        <w:t>The Cambridge Economic History of Modern Britain</w:t>
      </w:r>
      <w:r w:rsidRPr="00B47801">
        <w:rPr>
          <w:rFonts w:ascii="Times New Roman" w:hAnsi="Times New Roman"/>
          <w:sz w:val="20"/>
          <w:lang w:val="en-GB"/>
        </w:rPr>
        <w:t>, vol. I. Cambridge, Cambridge University Press, pp. 89-117</w:t>
      </w:r>
    </w:p>
    <w:p w14:paraId="132EC4FD" w14:textId="17216BE1" w:rsidR="00D700BE" w:rsidRPr="00B47801" w:rsidRDefault="00D700BE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MENDES, J. A. (1980). “Trás-os</w:t>
      </w:r>
      <w:r w:rsidR="00D26E5E" w:rsidRPr="00B47801">
        <w:rPr>
          <w:rFonts w:ascii="Times New Roman" w:hAnsi="Times New Roman"/>
          <w:sz w:val="20"/>
        </w:rPr>
        <w:t xml:space="preserve">-Montes nos finais do século XVIII. Alguns aspetos económico-sociais.” </w:t>
      </w:r>
      <w:r w:rsidR="00D26E5E" w:rsidRPr="00B47801">
        <w:rPr>
          <w:rFonts w:ascii="Times New Roman" w:hAnsi="Times New Roman"/>
          <w:i/>
          <w:iCs/>
          <w:sz w:val="20"/>
        </w:rPr>
        <w:t>Estudos Contemporâneos</w:t>
      </w:r>
      <w:r w:rsidR="00D26E5E" w:rsidRPr="00B47801">
        <w:rPr>
          <w:rFonts w:ascii="Times New Roman" w:hAnsi="Times New Roman"/>
          <w:sz w:val="20"/>
        </w:rPr>
        <w:t>, 1, 9-44.</w:t>
      </w:r>
    </w:p>
    <w:p w14:paraId="439C4CB4" w14:textId="104B6C42" w:rsidR="006865EC" w:rsidRPr="00B47801" w:rsidRDefault="006865EC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>PALMA, N., REIS, J. &amp; ZHANG, M. (2017), “Reconstruction of Regional and National Population using Intermittent Census-Type Data: The Case of Portugal, 1527–1864.” Maddison-Project Working Paper No. 8, Groningen, Netherlands.</w:t>
      </w:r>
    </w:p>
    <w:p w14:paraId="5B0716EE" w14:textId="098C2CBF" w:rsidR="006865EC" w:rsidRPr="00B47801" w:rsidRDefault="006865EC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>PALMA, N. &amp; REIS, J. (2019)</w:t>
      </w:r>
      <w:r w:rsidR="001E6E4E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“From Convergence to Divergence: Portuguese Economic Growth, 1527–1850.” </w:t>
      </w:r>
      <w:r w:rsidRPr="00B47801">
        <w:rPr>
          <w:rFonts w:ascii="Times New Roman" w:hAnsi="Times New Roman"/>
          <w:i/>
          <w:iCs/>
          <w:sz w:val="20"/>
          <w:lang w:val="en-GB"/>
        </w:rPr>
        <w:t>The Journal of Economic History</w:t>
      </w:r>
      <w:r w:rsidRPr="00B47801">
        <w:rPr>
          <w:rFonts w:ascii="Times New Roman" w:hAnsi="Times New Roman"/>
          <w:sz w:val="20"/>
          <w:lang w:val="en-GB"/>
        </w:rPr>
        <w:t>, 79</w:t>
      </w:r>
      <w:r w:rsidR="001E6E4E" w:rsidRPr="00B47801">
        <w:rPr>
          <w:rFonts w:ascii="Times New Roman" w:hAnsi="Times New Roman"/>
          <w:sz w:val="20"/>
          <w:lang w:val="en-GB"/>
        </w:rPr>
        <w:t>(</w:t>
      </w:r>
      <w:r w:rsidRPr="00B47801">
        <w:rPr>
          <w:rFonts w:ascii="Times New Roman" w:hAnsi="Times New Roman"/>
          <w:sz w:val="20"/>
          <w:lang w:val="en-GB"/>
        </w:rPr>
        <w:t>2</w:t>
      </w:r>
      <w:r w:rsidR="001E6E4E" w:rsidRPr="00B47801">
        <w:rPr>
          <w:rFonts w:ascii="Times New Roman" w:hAnsi="Times New Roman"/>
          <w:sz w:val="20"/>
          <w:lang w:val="en-GB"/>
        </w:rPr>
        <w:t>),</w:t>
      </w:r>
      <w:r w:rsidRPr="00B47801">
        <w:rPr>
          <w:rFonts w:ascii="Times New Roman" w:hAnsi="Times New Roman"/>
          <w:sz w:val="20"/>
          <w:lang w:val="en-GB"/>
        </w:rPr>
        <w:t xml:space="preserve"> 477-506</w:t>
      </w:r>
      <w:r w:rsidR="001E6E4E" w:rsidRPr="00B47801">
        <w:rPr>
          <w:rFonts w:ascii="Times New Roman" w:hAnsi="Times New Roman"/>
          <w:sz w:val="20"/>
          <w:lang w:val="en-GB"/>
        </w:rPr>
        <w:t>.</w:t>
      </w:r>
    </w:p>
    <w:p w14:paraId="60A3FC6A" w14:textId="4F2B7BF7" w:rsidR="006865EC" w:rsidRPr="00B47801" w:rsidRDefault="006865EC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PEDREIRA, J. (2005), “A Indústria”, In </w:t>
      </w:r>
      <w:r w:rsidR="00DC2034" w:rsidRPr="00B47801">
        <w:rPr>
          <w:rFonts w:ascii="Times New Roman" w:hAnsi="Times New Roman"/>
          <w:sz w:val="20"/>
        </w:rPr>
        <w:t xml:space="preserve">P. </w:t>
      </w:r>
      <w:r w:rsidRPr="00B47801">
        <w:rPr>
          <w:rFonts w:ascii="Times New Roman" w:hAnsi="Times New Roman"/>
          <w:sz w:val="20"/>
        </w:rPr>
        <w:t xml:space="preserve">LAINS &amp; </w:t>
      </w:r>
      <w:r w:rsidR="00DC2034" w:rsidRPr="00B47801">
        <w:rPr>
          <w:rFonts w:ascii="Times New Roman" w:hAnsi="Times New Roman"/>
          <w:sz w:val="20"/>
        </w:rPr>
        <w:t xml:space="preserve">A. </w:t>
      </w:r>
      <w:r w:rsidRPr="00B47801">
        <w:rPr>
          <w:rFonts w:ascii="Times New Roman" w:hAnsi="Times New Roman"/>
          <w:sz w:val="20"/>
        </w:rPr>
        <w:t>FERREIRA DA SIVA (Ed</w:t>
      </w:r>
      <w:r w:rsidR="00DC2034" w:rsidRPr="00B47801">
        <w:rPr>
          <w:rFonts w:ascii="Times New Roman" w:hAnsi="Times New Roman"/>
          <w:sz w:val="20"/>
        </w:rPr>
        <w:t>s</w:t>
      </w:r>
      <w:r w:rsidRPr="00B47801">
        <w:rPr>
          <w:rFonts w:ascii="Times New Roman" w:hAnsi="Times New Roman"/>
          <w:sz w:val="20"/>
        </w:rPr>
        <w:t xml:space="preserve">.), </w:t>
      </w:r>
      <w:r w:rsidRPr="00B47801">
        <w:rPr>
          <w:rFonts w:ascii="Times New Roman" w:hAnsi="Times New Roman"/>
          <w:i/>
          <w:iCs/>
          <w:sz w:val="20"/>
        </w:rPr>
        <w:t>História Económica de Portugal: o século XVIII</w:t>
      </w:r>
      <w:r w:rsidRPr="00B47801">
        <w:rPr>
          <w:rFonts w:ascii="Times New Roman" w:hAnsi="Times New Roman"/>
          <w:sz w:val="20"/>
        </w:rPr>
        <w:t>.  pp. 177-208</w:t>
      </w:r>
      <w:r w:rsidR="00006E87" w:rsidRPr="00B47801">
        <w:rPr>
          <w:rFonts w:ascii="Times New Roman" w:hAnsi="Times New Roman"/>
          <w:sz w:val="20"/>
        </w:rPr>
        <w:t>.</w:t>
      </w:r>
    </w:p>
    <w:p w14:paraId="5B0C36EF" w14:textId="762B6EBB" w:rsidR="006865EC" w:rsidRPr="00B47801" w:rsidRDefault="006865EC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PEDREIRA, J. (1994). Estrutura Industrial e Mercado Colonial: Portugal e Brasil (1780-1830). Lisboa, Difel</w:t>
      </w:r>
      <w:r w:rsidR="00DC2034" w:rsidRPr="00B47801">
        <w:rPr>
          <w:rFonts w:ascii="Times New Roman" w:hAnsi="Times New Roman"/>
          <w:sz w:val="20"/>
        </w:rPr>
        <w:t>.</w:t>
      </w:r>
    </w:p>
    <w:p w14:paraId="547CAA94" w14:textId="3414F4DF" w:rsidR="009077A7" w:rsidRPr="00B47801" w:rsidRDefault="009077A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PEDREIRA, J. (1991).</w:t>
      </w:r>
      <w:r w:rsidR="00C57986" w:rsidRPr="00B47801">
        <w:rPr>
          <w:rFonts w:ascii="Times New Roman" w:hAnsi="Times New Roman"/>
          <w:sz w:val="20"/>
        </w:rPr>
        <w:t xml:space="preserve"> “Indústria e negócio: a estamparia da região de Lisboa, 1780-1880”</w:t>
      </w:r>
      <w:r w:rsidR="001E6E4E" w:rsidRPr="00B47801">
        <w:rPr>
          <w:rFonts w:ascii="Times New Roman" w:hAnsi="Times New Roman"/>
          <w:sz w:val="20"/>
        </w:rPr>
        <w:t>.</w:t>
      </w:r>
      <w:r w:rsidR="00C57986" w:rsidRPr="00B47801">
        <w:rPr>
          <w:rFonts w:ascii="Times New Roman" w:hAnsi="Times New Roman"/>
          <w:sz w:val="20"/>
        </w:rPr>
        <w:t xml:space="preserve"> </w:t>
      </w:r>
      <w:r w:rsidR="00C57986" w:rsidRPr="00B47801">
        <w:rPr>
          <w:rFonts w:ascii="Times New Roman" w:hAnsi="Times New Roman"/>
          <w:i/>
          <w:iCs/>
          <w:sz w:val="20"/>
        </w:rPr>
        <w:t>Análise Social</w:t>
      </w:r>
      <w:r w:rsidR="00C57986" w:rsidRPr="00B47801">
        <w:rPr>
          <w:rFonts w:ascii="Times New Roman" w:hAnsi="Times New Roman"/>
          <w:sz w:val="20"/>
        </w:rPr>
        <w:t>, 112-113, 537-559.</w:t>
      </w:r>
    </w:p>
    <w:p w14:paraId="0CFD8EC2" w14:textId="3CDCDDF0" w:rsidR="005B248B" w:rsidRPr="00B47801" w:rsidRDefault="005B248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>PEDREIRA, J. (1990)</w:t>
      </w:r>
      <w:r w:rsidR="001E6E4E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“Social Structure and the Persistence of Rural Domestic Industry in XIX</w:t>
      </w:r>
      <w:r w:rsidRPr="0090475C">
        <w:rPr>
          <w:rFonts w:ascii="Times New Roman" w:hAnsi="Times New Roman"/>
          <w:sz w:val="20"/>
          <w:vertAlign w:val="superscript"/>
          <w:lang w:val="en-GB"/>
        </w:rPr>
        <w:t>th</w:t>
      </w:r>
      <w:r w:rsidRPr="00B47801">
        <w:rPr>
          <w:rFonts w:ascii="Times New Roman" w:hAnsi="Times New Roman"/>
          <w:sz w:val="20"/>
          <w:lang w:val="en-GB"/>
        </w:rPr>
        <w:t xml:space="preserve"> Century Portugal”</w:t>
      </w:r>
      <w:r w:rsidR="001E6E4E" w:rsidRPr="00B47801">
        <w:rPr>
          <w:rFonts w:ascii="Times New Roman" w:hAnsi="Times New Roman"/>
          <w:sz w:val="20"/>
          <w:lang w:val="en-GB"/>
        </w:rPr>
        <w:t>.</w:t>
      </w:r>
      <w:r w:rsidRPr="00B47801">
        <w:rPr>
          <w:rFonts w:ascii="Times New Roman" w:hAnsi="Times New Roman"/>
          <w:sz w:val="20"/>
          <w:lang w:val="en-GB"/>
        </w:rPr>
        <w:t xml:space="preserve"> </w:t>
      </w:r>
      <w:r w:rsidRPr="00B47801">
        <w:rPr>
          <w:rFonts w:ascii="Times New Roman" w:hAnsi="Times New Roman"/>
          <w:i/>
          <w:iCs/>
          <w:sz w:val="20"/>
          <w:lang w:val="en-GB"/>
        </w:rPr>
        <w:t>Journal of European Economic History</w:t>
      </w:r>
      <w:r w:rsidRPr="00B47801">
        <w:rPr>
          <w:rFonts w:ascii="Times New Roman" w:hAnsi="Times New Roman"/>
          <w:sz w:val="20"/>
          <w:lang w:val="en-GB"/>
        </w:rPr>
        <w:t>, 19(3), 522-574</w:t>
      </w:r>
    </w:p>
    <w:p w14:paraId="39C60117" w14:textId="4A13268F" w:rsidR="00076607" w:rsidRPr="00B47801" w:rsidRDefault="005B248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PEDREIRA, J. (1987)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“Indústria e atraso económico em Portugal (1800-1825), Uma perspetiva estrutural.” </w:t>
      </w:r>
      <w:r w:rsidRPr="00B47801">
        <w:rPr>
          <w:rFonts w:ascii="Times New Roman" w:hAnsi="Times New Roman"/>
          <w:i/>
          <w:iCs/>
          <w:sz w:val="20"/>
        </w:rPr>
        <w:t>Análise Social</w:t>
      </w:r>
      <w:r w:rsidRPr="00B47801">
        <w:rPr>
          <w:rFonts w:ascii="Times New Roman" w:hAnsi="Times New Roman"/>
          <w:sz w:val="20"/>
        </w:rPr>
        <w:t>, XXXIII(97), 563-596</w:t>
      </w:r>
      <w:r w:rsidR="00076607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</w:p>
    <w:p w14:paraId="1B1CE580" w14:textId="37D24654" w:rsidR="00076607" w:rsidRPr="00B47801" w:rsidRDefault="0007660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 xml:space="preserve">PFISTER, U., (2022). “Economic growth in Germany, 1500–1850”. </w:t>
      </w:r>
      <w:r w:rsidRPr="00B47801">
        <w:rPr>
          <w:rFonts w:ascii="Times New Roman" w:hAnsi="Times New Roman"/>
          <w:i/>
          <w:iCs/>
          <w:sz w:val="20"/>
          <w:lang w:val="en-GB"/>
        </w:rPr>
        <w:t>The Journal of Economic History</w:t>
      </w:r>
      <w:r w:rsidRPr="00B47801">
        <w:rPr>
          <w:rFonts w:ascii="Times New Roman" w:hAnsi="Times New Roman"/>
          <w:sz w:val="20"/>
          <w:lang w:val="en-GB"/>
        </w:rPr>
        <w:t>, 82(4), 1071-1107.</w:t>
      </w:r>
    </w:p>
    <w:p w14:paraId="2AF11FAA" w14:textId="77777777" w:rsidR="00F5709B" w:rsidRPr="00B47801" w:rsidRDefault="0007660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</w:rPr>
        <w:t xml:space="preserve">PFISTER, U., RIEDEL, J. &amp; UEBELE, M. (2012). </w:t>
      </w:r>
      <w:r w:rsidRPr="00B47801">
        <w:rPr>
          <w:rFonts w:ascii="Times New Roman" w:hAnsi="Times New Roman"/>
          <w:sz w:val="20"/>
          <w:lang w:val="en-GB"/>
        </w:rPr>
        <w:t xml:space="preserve">“Real Wages and the Origins of Modern Economic Growth in Germany, 16th to 19th Centuries.” </w:t>
      </w:r>
      <w:r w:rsidRPr="00B47801">
        <w:rPr>
          <w:rFonts w:ascii="Times New Roman" w:hAnsi="Times New Roman"/>
          <w:i/>
          <w:iCs/>
          <w:sz w:val="20"/>
          <w:lang w:val="en-GB"/>
        </w:rPr>
        <w:t>EHES Working Paper N.º17</w:t>
      </w:r>
      <w:r w:rsidRPr="00B47801">
        <w:rPr>
          <w:rFonts w:ascii="Times New Roman" w:hAnsi="Times New Roman"/>
          <w:sz w:val="20"/>
          <w:lang w:val="en-GB"/>
        </w:rPr>
        <w:t>, European Historical Economics Society, London, UK, April 2012.</w:t>
      </w:r>
    </w:p>
    <w:p w14:paraId="003E58B5" w14:textId="3707C49B" w:rsidR="00F5709B" w:rsidRPr="00B47801" w:rsidRDefault="00F5709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PINHEIRO, M. (2011)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Biografia de Lisboa. Lisboa. A Esfera dos Livros.</w:t>
      </w:r>
    </w:p>
    <w:p w14:paraId="2F955A6D" w14:textId="0CB92135" w:rsidR="00BF4B45" w:rsidRPr="00B47801" w:rsidRDefault="00BF4B45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RAVARA, A. (1988). “A classificação socioprofissional em Portugal (1806-1930)</w:t>
      </w:r>
      <w:r w:rsidR="00D700B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” </w:t>
      </w:r>
      <w:r w:rsidRPr="00B47801">
        <w:rPr>
          <w:rFonts w:ascii="Times New Roman" w:hAnsi="Times New Roman"/>
          <w:i/>
          <w:iCs/>
          <w:sz w:val="20"/>
        </w:rPr>
        <w:t>Análise Social</w:t>
      </w:r>
      <w:r w:rsidRPr="00B47801">
        <w:rPr>
          <w:rFonts w:ascii="Times New Roman" w:hAnsi="Times New Roman"/>
          <w:sz w:val="20"/>
        </w:rPr>
        <w:t>, XXIV (103-104), 1161-1184.</w:t>
      </w:r>
    </w:p>
    <w:p w14:paraId="13623E8C" w14:textId="42735BA9" w:rsidR="007B178F" w:rsidRPr="00B47801" w:rsidRDefault="007B178F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bookmarkStart w:id="34" w:name="_Hlk117161612"/>
      <w:r w:rsidRPr="00B47801">
        <w:rPr>
          <w:rFonts w:ascii="Times New Roman" w:hAnsi="Times New Roman"/>
          <w:sz w:val="20"/>
          <w:lang w:val="en-GB"/>
        </w:rPr>
        <w:t xml:space="preserve">REIS, J. (2017). “Gross Agricultural Output: A Quantitative Unified Perspective, 1500-1850.” In </w:t>
      </w:r>
      <w:r w:rsidR="001E6E4E" w:rsidRPr="00B47801">
        <w:rPr>
          <w:rFonts w:ascii="Times New Roman" w:hAnsi="Times New Roman"/>
          <w:sz w:val="20"/>
          <w:lang w:val="en-GB"/>
        </w:rPr>
        <w:t xml:space="preserve">D. </w:t>
      </w:r>
      <w:r w:rsidRPr="00B47801">
        <w:rPr>
          <w:rFonts w:ascii="Times New Roman" w:hAnsi="Times New Roman"/>
          <w:sz w:val="20"/>
          <w:lang w:val="en-GB"/>
        </w:rPr>
        <w:t xml:space="preserve">FREIRE,  &amp; </w:t>
      </w:r>
      <w:r w:rsidR="001E6E4E" w:rsidRPr="00B47801">
        <w:rPr>
          <w:rFonts w:ascii="Times New Roman" w:hAnsi="Times New Roman"/>
          <w:sz w:val="20"/>
          <w:lang w:val="en-GB"/>
        </w:rPr>
        <w:t xml:space="preserve">P. </w:t>
      </w:r>
      <w:r w:rsidRPr="00B47801">
        <w:rPr>
          <w:rFonts w:ascii="Times New Roman" w:hAnsi="Times New Roman"/>
          <w:sz w:val="20"/>
          <w:lang w:val="en-GB"/>
        </w:rPr>
        <w:t xml:space="preserve">LAINS, (Ed.), </w:t>
      </w:r>
      <w:r w:rsidRPr="00B47801">
        <w:rPr>
          <w:rFonts w:ascii="Times New Roman" w:hAnsi="Times New Roman"/>
          <w:i/>
          <w:iCs/>
          <w:sz w:val="20"/>
          <w:lang w:val="en-GB"/>
        </w:rPr>
        <w:t>An Agrarian History of Portugal, 1000-2000</w:t>
      </w:r>
      <w:r w:rsidRPr="00B47801">
        <w:rPr>
          <w:rFonts w:ascii="Times New Roman" w:hAnsi="Times New Roman"/>
          <w:sz w:val="20"/>
          <w:lang w:val="en-GB"/>
        </w:rPr>
        <w:t>. Boston, Leiden, pp. 172-216</w:t>
      </w:r>
    </w:p>
    <w:bookmarkEnd w:id="34"/>
    <w:p w14:paraId="3CBC0A00" w14:textId="415296B3" w:rsidR="00E15A52" w:rsidRPr="00B47801" w:rsidRDefault="00E15A52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REIS, J. (2005)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“O Trabalho” In </w:t>
      </w:r>
      <w:r w:rsidR="001E6E4E" w:rsidRPr="00B47801">
        <w:rPr>
          <w:rFonts w:ascii="Times New Roman" w:hAnsi="Times New Roman"/>
          <w:sz w:val="20"/>
        </w:rPr>
        <w:t xml:space="preserve">P. </w:t>
      </w:r>
      <w:r w:rsidRPr="00B47801">
        <w:rPr>
          <w:rFonts w:ascii="Times New Roman" w:hAnsi="Times New Roman"/>
          <w:sz w:val="20"/>
        </w:rPr>
        <w:t xml:space="preserve">LAINS, P.&amp; </w:t>
      </w:r>
      <w:r w:rsidR="001E6E4E" w:rsidRPr="00B47801">
        <w:rPr>
          <w:rFonts w:ascii="Times New Roman" w:hAnsi="Times New Roman"/>
          <w:sz w:val="20"/>
        </w:rPr>
        <w:t xml:space="preserve">A. </w:t>
      </w:r>
      <w:r w:rsidRPr="00B47801">
        <w:rPr>
          <w:rFonts w:ascii="Times New Roman" w:hAnsi="Times New Roman"/>
          <w:sz w:val="20"/>
        </w:rPr>
        <w:t>FERREIRA DA SIVA (Ed</w:t>
      </w:r>
      <w:r w:rsidR="001E6E4E" w:rsidRPr="00B47801">
        <w:rPr>
          <w:rFonts w:ascii="Times New Roman" w:hAnsi="Times New Roman"/>
          <w:sz w:val="20"/>
        </w:rPr>
        <w:t>s</w:t>
      </w:r>
      <w:r w:rsidRPr="00B47801">
        <w:rPr>
          <w:rFonts w:ascii="Times New Roman" w:hAnsi="Times New Roman"/>
          <w:sz w:val="20"/>
        </w:rPr>
        <w:t>.), História Económica de Portugal: o século XIX. Lisboa, ICS,  pp. 119-151</w:t>
      </w:r>
      <w:r w:rsidR="001E6E4E" w:rsidRPr="00B47801">
        <w:rPr>
          <w:rFonts w:ascii="Times New Roman" w:hAnsi="Times New Roman"/>
          <w:sz w:val="20"/>
        </w:rPr>
        <w:t>.</w:t>
      </w:r>
    </w:p>
    <w:p w14:paraId="155468F4" w14:textId="3B237997" w:rsidR="007B178F" w:rsidRPr="00B47801" w:rsidRDefault="007B178F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RODRIGUES, T. (2004)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A população portuguesa no século XIX</w:t>
      </w:r>
      <w:r w:rsidRPr="00B47801">
        <w:rPr>
          <w:rFonts w:ascii="Times New Roman" w:hAnsi="Times New Roman"/>
          <w:sz w:val="20"/>
        </w:rPr>
        <w:t xml:space="preserve">. Porto, Edições Afrontamento </w:t>
      </w:r>
    </w:p>
    <w:p w14:paraId="41E57663" w14:textId="2D3E44BF" w:rsidR="008C4EE9" w:rsidRPr="00B47801" w:rsidRDefault="008C4EE9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RODRIGUES, T. (1997). </w:t>
      </w:r>
      <w:r w:rsidRPr="00B47801">
        <w:rPr>
          <w:rFonts w:ascii="Times New Roman" w:hAnsi="Times New Roman"/>
          <w:i/>
          <w:iCs/>
          <w:sz w:val="20"/>
        </w:rPr>
        <w:t>Cinco Séculos de Quotidiano. A Vida em Lisboa do Século XVI aos nossos dias</w:t>
      </w:r>
      <w:r w:rsidRPr="00B47801">
        <w:rPr>
          <w:rFonts w:ascii="Times New Roman" w:hAnsi="Times New Roman"/>
          <w:sz w:val="20"/>
        </w:rPr>
        <w:t>. Lisboa, Edições Cosmos.</w:t>
      </w:r>
    </w:p>
    <w:p w14:paraId="68690FC8" w14:textId="39131357" w:rsidR="004D0CEB" w:rsidRPr="00B47801" w:rsidRDefault="004D0CE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lastRenderedPageBreak/>
        <w:t xml:space="preserve">SÁ, I. (2005), “O Trabalho” In </w:t>
      </w:r>
      <w:r w:rsidR="001E6E4E" w:rsidRPr="00B47801">
        <w:rPr>
          <w:rFonts w:ascii="Times New Roman" w:hAnsi="Times New Roman"/>
          <w:sz w:val="20"/>
        </w:rPr>
        <w:t xml:space="preserve">P. </w:t>
      </w:r>
      <w:r w:rsidRPr="00B47801">
        <w:rPr>
          <w:rFonts w:ascii="Times New Roman" w:hAnsi="Times New Roman"/>
          <w:sz w:val="20"/>
        </w:rPr>
        <w:t xml:space="preserve">LAINS, P.&amp; </w:t>
      </w:r>
      <w:r w:rsidR="001E6E4E" w:rsidRPr="00B47801">
        <w:rPr>
          <w:rFonts w:ascii="Times New Roman" w:hAnsi="Times New Roman"/>
          <w:sz w:val="20"/>
        </w:rPr>
        <w:t xml:space="preserve">A. </w:t>
      </w:r>
      <w:r w:rsidRPr="00B47801">
        <w:rPr>
          <w:rFonts w:ascii="Times New Roman" w:hAnsi="Times New Roman"/>
          <w:sz w:val="20"/>
        </w:rPr>
        <w:t>FERREIRA DA SIVA (Ed</w:t>
      </w:r>
      <w:r w:rsidR="001E6E4E" w:rsidRPr="00B47801">
        <w:rPr>
          <w:rFonts w:ascii="Times New Roman" w:hAnsi="Times New Roman"/>
          <w:sz w:val="20"/>
        </w:rPr>
        <w:t>s</w:t>
      </w:r>
      <w:r w:rsidRPr="00B47801">
        <w:rPr>
          <w:rFonts w:ascii="Times New Roman" w:hAnsi="Times New Roman"/>
          <w:sz w:val="20"/>
        </w:rPr>
        <w:t xml:space="preserve">.), </w:t>
      </w:r>
      <w:r w:rsidRPr="00B47801">
        <w:rPr>
          <w:rFonts w:ascii="Times New Roman" w:hAnsi="Times New Roman"/>
          <w:i/>
          <w:iCs/>
          <w:sz w:val="20"/>
        </w:rPr>
        <w:t>História Económica de Portugal: o século XVIII</w:t>
      </w:r>
      <w:r w:rsidRPr="00B47801">
        <w:rPr>
          <w:rFonts w:ascii="Times New Roman" w:hAnsi="Times New Roman"/>
          <w:sz w:val="20"/>
        </w:rPr>
        <w:t>.  Lisboa, ICS, pp. 93-121</w:t>
      </w:r>
      <w:r w:rsidR="001E6E4E" w:rsidRPr="00B47801">
        <w:rPr>
          <w:rFonts w:ascii="Times New Roman" w:hAnsi="Times New Roman"/>
          <w:sz w:val="20"/>
        </w:rPr>
        <w:t>.</w:t>
      </w:r>
    </w:p>
    <w:p w14:paraId="56513AEC" w14:textId="67FF86BA" w:rsidR="00A63F1B" w:rsidRPr="00B47801" w:rsidRDefault="00A63F1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SERRÃO, J., DIAS, J., MATA, E. &amp; VALÉRIO, N. (1976). “População </w:t>
      </w:r>
      <w:proofErr w:type="spellStart"/>
      <w:r w:rsidRPr="00B47801">
        <w:rPr>
          <w:rFonts w:ascii="Times New Roman" w:hAnsi="Times New Roman"/>
          <w:sz w:val="20"/>
        </w:rPr>
        <w:t>activa</w:t>
      </w:r>
      <w:proofErr w:type="spellEnd"/>
      <w:r w:rsidRPr="00B47801">
        <w:rPr>
          <w:rFonts w:ascii="Times New Roman" w:hAnsi="Times New Roman"/>
          <w:sz w:val="20"/>
        </w:rPr>
        <w:t xml:space="preserve"> e população na vida religiosa em Trás-os-Montes nos finais do século XVIII”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Análise Social</w:t>
      </w:r>
      <w:r w:rsidRPr="00B47801">
        <w:rPr>
          <w:rFonts w:ascii="Times New Roman" w:hAnsi="Times New Roman"/>
          <w:sz w:val="20"/>
        </w:rPr>
        <w:t>, XII (47), 748-762.</w:t>
      </w:r>
    </w:p>
    <w:p w14:paraId="41304FD4" w14:textId="4A1AF096" w:rsidR="007E001F" w:rsidRPr="00B47801" w:rsidRDefault="00A45762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SERRÃO, J. (1973).</w:t>
      </w:r>
      <w:r w:rsidR="007E001F"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Fontes de Demografia Portuguesa</w:t>
      </w:r>
      <w:r w:rsidRPr="00B47801">
        <w:rPr>
          <w:rFonts w:ascii="Times New Roman" w:hAnsi="Times New Roman"/>
          <w:sz w:val="20"/>
        </w:rPr>
        <w:t>. Lisboa, Livros Horizonte.</w:t>
      </w:r>
    </w:p>
    <w:p w14:paraId="599E6659" w14:textId="15BF9BB2" w:rsidR="00A63F1B" w:rsidRPr="00B47801" w:rsidRDefault="00A63F1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en-GB"/>
        </w:rPr>
      </w:pPr>
      <w:r w:rsidRPr="00B47801">
        <w:rPr>
          <w:rFonts w:ascii="Times New Roman" w:hAnsi="Times New Roman"/>
          <w:sz w:val="20"/>
          <w:lang w:val="en-GB"/>
        </w:rPr>
        <w:t>SHAW-TAYLOR, L. (2009a), “The Occupational structure of England and Wales, c.1750-1910.” Occupational Project Paper 19</w:t>
      </w:r>
      <w:r w:rsidR="00743F14" w:rsidRPr="00B47801">
        <w:rPr>
          <w:rFonts w:ascii="Times New Roman" w:hAnsi="Times New Roman"/>
          <w:sz w:val="20"/>
          <w:lang w:val="en-GB"/>
        </w:rPr>
        <w:t>.</w:t>
      </w:r>
    </w:p>
    <w:p w14:paraId="1174EA33" w14:textId="78C6778A" w:rsidR="006F034F" w:rsidRPr="00B47801" w:rsidRDefault="006F034F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  <w:lang w:val="fr-FR"/>
        </w:rPr>
      </w:pPr>
      <w:r w:rsidRPr="00B47801">
        <w:rPr>
          <w:rFonts w:ascii="Times New Roman" w:hAnsi="Times New Roman"/>
          <w:sz w:val="20"/>
          <w:lang w:val="fr-FR"/>
        </w:rPr>
        <w:t>SILBERT, A. (1978)</w:t>
      </w:r>
      <w:r w:rsidRPr="00B47801">
        <w:rPr>
          <w:rFonts w:ascii="Times New Roman" w:hAnsi="Times New Roman"/>
          <w:i/>
          <w:iCs/>
          <w:sz w:val="20"/>
          <w:lang w:val="fr-FR"/>
        </w:rPr>
        <w:t>. Le Portugal Méditerranéen à la fin de l’Ancien Régime. Vol. 2.</w:t>
      </w:r>
      <w:r w:rsidRPr="00B47801">
        <w:rPr>
          <w:rFonts w:ascii="Times New Roman" w:hAnsi="Times New Roman"/>
          <w:sz w:val="20"/>
          <w:lang w:val="fr-FR"/>
        </w:rPr>
        <w:t xml:space="preserve">, Paris. </w:t>
      </w:r>
    </w:p>
    <w:p w14:paraId="17C2127E" w14:textId="23BCAC04" w:rsidR="00A63F1B" w:rsidRPr="00B47801" w:rsidRDefault="00A63F1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SOUSA, F. (2006). </w:t>
      </w:r>
      <w:r w:rsidRPr="00B47801">
        <w:rPr>
          <w:rFonts w:ascii="Times New Roman" w:hAnsi="Times New Roman"/>
          <w:i/>
          <w:iCs/>
          <w:sz w:val="20"/>
        </w:rPr>
        <w:t>História da Indústria das Sedas em Trás-os-Montes</w:t>
      </w:r>
      <w:r w:rsidRPr="00B47801">
        <w:rPr>
          <w:rFonts w:ascii="Times New Roman" w:hAnsi="Times New Roman"/>
          <w:sz w:val="20"/>
        </w:rPr>
        <w:t xml:space="preserve">, Edições Afrontamento. </w:t>
      </w:r>
    </w:p>
    <w:p w14:paraId="0E529539" w14:textId="20F34EFC" w:rsidR="00A76C31" w:rsidRPr="00B47801" w:rsidRDefault="00A63F1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SOUSA, F. (1995)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“A População em Portugal em finais do século XVIII”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População e Sociedade</w:t>
      </w:r>
      <w:r w:rsidRPr="00B47801">
        <w:rPr>
          <w:rFonts w:ascii="Times New Roman" w:hAnsi="Times New Roman"/>
          <w:sz w:val="20"/>
        </w:rPr>
        <w:t>, 1, 41-55.</w:t>
      </w:r>
    </w:p>
    <w:p w14:paraId="35CA9519" w14:textId="77871A94" w:rsidR="004D0CEB" w:rsidRPr="00B47801" w:rsidRDefault="004D0CEB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bookmarkStart w:id="35" w:name="_Hlk117177609"/>
      <w:r w:rsidRPr="00B47801">
        <w:rPr>
          <w:rFonts w:ascii="Times New Roman" w:hAnsi="Times New Roman"/>
          <w:sz w:val="20"/>
        </w:rPr>
        <w:t>SOUSA, F. (1979)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“ A indústria da seda em Trás-os-Montes”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Revista de História Económica e Social,</w:t>
      </w:r>
      <w:r w:rsidRPr="00B47801">
        <w:rPr>
          <w:rFonts w:ascii="Times New Roman" w:hAnsi="Times New Roman"/>
          <w:sz w:val="20"/>
        </w:rPr>
        <w:t xml:space="preserve"> 2, 59-73</w:t>
      </w:r>
    </w:p>
    <w:bookmarkEnd w:id="35"/>
    <w:p w14:paraId="614E105D" w14:textId="0C9F0910" w:rsidR="007B178F" w:rsidRPr="00B47801" w:rsidRDefault="007B178F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>SOUSA, R. M. (2006)</w:t>
      </w:r>
      <w:r w:rsidR="001E6E4E" w:rsidRPr="00B47801">
        <w:rPr>
          <w:rFonts w:ascii="Times New Roman" w:hAnsi="Times New Roman"/>
          <w:sz w:val="20"/>
        </w:rPr>
        <w:t>.</w:t>
      </w:r>
      <w:r w:rsidRPr="00B47801">
        <w:rPr>
          <w:rFonts w:ascii="Times New Roman" w:hAnsi="Times New Roman"/>
          <w:sz w:val="20"/>
        </w:rPr>
        <w:t xml:space="preserve"> </w:t>
      </w:r>
      <w:r w:rsidRPr="00B47801">
        <w:rPr>
          <w:rFonts w:ascii="Times New Roman" w:hAnsi="Times New Roman"/>
          <w:i/>
          <w:iCs/>
          <w:sz w:val="20"/>
        </w:rPr>
        <w:t>Moeda e Metais Preciosos no Portugal Setecentista</w:t>
      </w:r>
      <w:r w:rsidRPr="00B47801">
        <w:rPr>
          <w:rFonts w:ascii="Times New Roman" w:hAnsi="Times New Roman"/>
          <w:sz w:val="20"/>
        </w:rPr>
        <w:t>. Lisboa, INCM</w:t>
      </w:r>
      <w:r w:rsidR="00A00DD1" w:rsidRPr="00B47801">
        <w:rPr>
          <w:rFonts w:ascii="Times New Roman" w:hAnsi="Times New Roman"/>
          <w:sz w:val="20"/>
        </w:rPr>
        <w:t>.</w:t>
      </w:r>
    </w:p>
    <w:p w14:paraId="2BA95733" w14:textId="1B47E084" w:rsidR="00694CE7" w:rsidRPr="00B47801" w:rsidRDefault="00694CE7" w:rsidP="0090475C">
      <w:pPr>
        <w:pStyle w:val="FootnoteText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B47801">
        <w:rPr>
          <w:rFonts w:ascii="Times New Roman" w:hAnsi="Times New Roman"/>
          <w:sz w:val="20"/>
        </w:rPr>
        <w:t xml:space="preserve">VALÉRIO, N. (1997) “Um indicador da evolução dos preços em Portugal no século XVI a XIX.” Instituto Superior de Economia e Gestão, </w:t>
      </w:r>
      <w:r w:rsidRPr="00B47801">
        <w:rPr>
          <w:rFonts w:ascii="Times New Roman" w:hAnsi="Times New Roman"/>
          <w:i/>
          <w:iCs/>
          <w:sz w:val="20"/>
        </w:rPr>
        <w:t>GHES Working Paper</w:t>
      </w:r>
      <w:r w:rsidRPr="00B47801">
        <w:rPr>
          <w:rFonts w:ascii="Times New Roman" w:hAnsi="Times New Roman"/>
          <w:sz w:val="20"/>
        </w:rPr>
        <w:t xml:space="preserve"> nº 4-1997</w:t>
      </w:r>
      <w:r w:rsidR="00A00DD1" w:rsidRPr="00B47801">
        <w:rPr>
          <w:rFonts w:ascii="Times New Roman" w:hAnsi="Times New Roman"/>
          <w:sz w:val="20"/>
        </w:rPr>
        <w:t>.</w:t>
      </w:r>
    </w:p>
    <w:sectPr w:rsidR="00694CE7" w:rsidRPr="00B47801" w:rsidSect="00CD3CBE">
      <w:pgSz w:w="11906" w:h="16838" w:code="9"/>
      <w:pgMar w:top="1440" w:right="1440" w:bottom="1440" w:left="1440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58D5" w14:textId="77777777" w:rsidR="00503B99" w:rsidRDefault="00503B99">
      <w:r>
        <w:separator/>
      </w:r>
    </w:p>
  </w:endnote>
  <w:endnote w:type="continuationSeparator" w:id="0">
    <w:p w14:paraId="020A743B" w14:textId="77777777" w:rsidR="00503B99" w:rsidRDefault="0050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DFFA" w14:textId="3AB8C391" w:rsidR="004F299C" w:rsidRDefault="004F299C" w:rsidP="00E6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B82009" w14:textId="77777777" w:rsidR="004F299C" w:rsidRDefault="004F299C" w:rsidP="002D41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02E6" w14:textId="77777777" w:rsidR="004F299C" w:rsidRDefault="004F299C" w:rsidP="008C0C5E">
    <w:pPr>
      <w:pStyle w:val="Footer"/>
      <w:ind w:right="90"/>
      <w:jc w:val="right"/>
      <w:rPr>
        <w:sz w:val="12"/>
      </w:rPr>
    </w:pPr>
    <w:r w:rsidRPr="002F387F">
      <w:rPr>
        <w:rStyle w:val="PageNumber"/>
        <w:sz w:val="18"/>
        <w:szCs w:val="18"/>
      </w:rPr>
      <w:fldChar w:fldCharType="begin"/>
    </w:r>
    <w:r w:rsidRPr="002F387F">
      <w:rPr>
        <w:rStyle w:val="PageNumber"/>
        <w:sz w:val="18"/>
        <w:szCs w:val="18"/>
      </w:rPr>
      <w:instrText xml:space="preserve"> PAGE </w:instrText>
    </w:r>
    <w:r w:rsidRPr="002F387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11</w:t>
    </w:r>
    <w:r w:rsidRPr="002F387F">
      <w:rPr>
        <w:rStyle w:val="PageNumber"/>
        <w:sz w:val="18"/>
        <w:szCs w:val="18"/>
      </w:rPr>
      <w:fldChar w:fldCharType="end"/>
    </w:r>
    <w:r w:rsidRPr="002F387F">
      <w:rPr>
        <w:rStyle w:val="PageNumber"/>
        <w:sz w:val="18"/>
        <w:szCs w:val="18"/>
      </w:rPr>
      <w:t>/</w:t>
    </w:r>
    <w:r w:rsidRPr="002F387F">
      <w:rPr>
        <w:rStyle w:val="PageNumber"/>
        <w:sz w:val="18"/>
        <w:szCs w:val="18"/>
      </w:rPr>
      <w:fldChar w:fldCharType="begin"/>
    </w:r>
    <w:r w:rsidRPr="002F387F">
      <w:rPr>
        <w:rStyle w:val="PageNumber"/>
        <w:sz w:val="18"/>
        <w:szCs w:val="18"/>
      </w:rPr>
      <w:instrText xml:space="preserve"> NUMPAGES </w:instrText>
    </w:r>
    <w:r w:rsidRPr="002F387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21</w:t>
    </w:r>
    <w:r w:rsidRPr="002F387F">
      <w:rPr>
        <w:rStyle w:val="PageNumber"/>
        <w:sz w:val="18"/>
        <w:szCs w:val="18"/>
      </w:rPr>
      <w:fldChar w:fldCharType="end"/>
    </w:r>
  </w:p>
  <w:p w14:paraId="490A0A32" w14:textId="77777777" w:rsidR="004F299C" w:rsidRPr="008C0C5E" w:rsidRDefault="004F299C" w:rsidP="008C0C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C93F" w14:textId="77777777" w:rsidR="004F299C" w:rsidRPr="00C04582" w:rsidRDefault="004F299C" w:rsidP="00C04582">
    <w:pPr>
      <w:pStyle w:val="Footer"/>
      <w:framePr w:wrap="around" w:vAnchor="text" w:hAnchor="page" w:x="14437" w:y="77"/>
      <w:rPr>
        <w:rStyle w:val="PageNumber"/>
        <w:rFonts w:ascii="Arial Narrow" w:hAnsi="Arial Narrow" w:cs="Arial"/>
        <w:sz w:val="18"/>
        <w:szCs w:val="18"/>
      </w:rPr>
    </w:pPr>
    <w:r w:rsidRPr="00C04582">
      <w:rPr>
        <w:rStyle w:val="PageNumber"/>
        <w:rFonts w:ascii="Arial Narrow" w:hAnsi="Arial Narrow" w:cs="Arial"/>
        <w:sz w:val="18"/>
        <w:szCs w:val="18"/>
      </w:rPr>
      <w:fldChar w:fldCharType="begin"/>
    </w:r>
    <w:r w:rsidRPr="00C04582">
      <w:rPr>
        <w:rStyle w:val="PageNumber"/>
        <w:rFonts w:ascii="Arial Narrow" w:hAnsi="Arial Narrow" w:cs="Arial"/>
        <w:sz w:val="18"/>
        <w:szCs w:val="18"/>
      </w:rPr>
      <w:instrText xml:space="preserve">PAGE  </w:instrText>
    </w:r>
    <w:r w:rsidRPr="00C04582">
      <w:rPr>
        <w:rStyle w:val="PageNumber"/>
        <w:rFonts w:ascii="Arial Narrow" w:hAnsi="Arial Narrow" w:cs="Arial"/>
        <w:sz w:val="18"/>
        <w:szCs w:val="18"/>
      </w:rPr>
      <w:fldChar w:fldCharType="separate"/>
    </w:r>
    <w:r>
      <w:rPr>
        <w:rStyle w:val="PageNumber"/>
        <w:rFonts w:ascii="Arial Narrow" w:hAnsi="Arial Narrow" w:cs="Arial"/>
        <w:noProof/>
        <w:sz w:val="18"/>
        <w:szCs w:val="18"/>
      </w:rPr>
      <w:t>1</w:t>
    </w:r>
    <w:r w:rsidRPr="00C04582">
      <w:rPr>
        <w:rStyle w:val="PageNumber"/>
        <w:rFonts w:ascii="Arial Narrow" w:hAnsi="Arial Narrow" w:cs="Arial"/>
        <w:sz w:val="18"/>
        <w:szCs w:val="18"/>
      </w:rPr>
      <w:fldChar w:fldCharType="end"/>
    </w:r>
  </w:p>
  <w:p w14:paraId="39487F02" w14:textId="77777777" w:rsidR="004F299C" w:rsidRDefault="004F299C" w:rsidP="00C04582">
    <w:pPr>
      <w:pStyle w:val="Footer"/>
      <w:framePr w:wrap="auto" w:hAnchor="text" w:y="7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C7E0" w14:textId="77777777" w:rsidR="00503B99" w:rsidRDefault="00503B99">
      <w:r>
        <w:separator/>
      </w:r>
    </w:p>
  </w:footnote>
  <w:footnote w:type="continuationSeparator" w:id="0">
    <w:p w14:paraId="18C949A5" w14:textId="77777777" w:rsidR="00503B99" w:rsidRDefault="00503B99">
      <w:r>
        <w:continuationSeparator/>
      </w:r>
    </w:p>
  </w:footnote>
  <w:footnote w:id="1">
    <w:p w14:paraId="0DAAD762" w14:textId="77777777" w:rsidR="00CD3CBE" w:rsidRPr="001D7099" w:rsidRDefault="00CD3CBE" w:rsidP="00CD3CBE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Um resumo sobre as metodologias utilizadas neste tipo de abordagem encontra-se em Broadberry &amp; Fouquet (2015).</w:t>
      </w:r>
    </w:p>
  </w:footnote>
  <w:footnote w:id="2">
    <w:p w14:paraId="235771E4" w14:textId="76BEF5C1" w:rsidR="002F0836" w:rsidRPr="00D55BC9" w:rsidRDefault="002F0836" w:rsidP="00281AFC">
      <w:pPr>
        <w:pStyle w:val="FootnoteText"/>
        <w:spacing w:line="276" w:lineRule="auto"/>
        <w:ind w:left="142" w:hanging="142"/>
        <w:rPr>
          <w:rFonts w:ascii="Arial Nova" w:hAnsi="Arial Nova"/>
          <w:sz w:val="17"/>
          <w:szCs w:val="17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</w:t>
      </w:r>
      <w:r w:rsidR="007C7D55" w:rsidRPr="001D7099">
        <w:rPr>
          <w:rFonts w:ascii="Times New Roman" w:hAnsi="Times New Roman"/>
          <w:sz w:val="20"/>
        </w:rPr>
        <w:t>N</w:t>
      </w:r>
      <w:r w:rsidRPr="001D7099">
        <w:rPr>
          <w:rFonts w:ascii="Times New Roman" w:hAnsi="Times New Roman"/>
          <w:sz w:val="20"/>
        </w:rPr>
        <w:t xml:space="preserve">ão </w:t>
      </w:r>
      <w:r w:rsidR="007C7D55" w:rsidRPr="001D7099">
        <w:rPr>
          <w:rFonts w:ascii="Times New Roman" w:hAnsi="Times New Roman"/>
          <w:sz w:val="20"/>
        </w:rPr>
        <w:t>foi efetuada um</w:t>
      </w:r>
      <w:r w:rsidRPr="001D7099">
        <w:rPr>
          <w:rFonts w:ascii="Times New Roman" w:hAnsi="Times New Roman"/>
          <w:sz w:val="20"/>
        </w:rPr>
        <w:t xml:space="preserve">a ponderação </w:t>
      </w:r>
      <w:r w:rsidR="007C7D55" w:rsidRPr="001D7099">
        <w:rPr>
          <w:rFonts w:ascii="Times New Roman" w:hAnsi="Times New Roman"/>
          <w:sz w:val="20"/>
        </w:rPr>
        <w:t xml:space="preserve">do peso </w:t>
      </w:r>
      <w:r w:rsidR="00D406A4" w:rsidRPr="001D7099">
        <w:rPr>
          <w:rFonts w:ascii="Times New Roman" w:hAnsi="Times New Roman"/>
          <w:sz w:val="20"/>
        </w:rPr>
        <w:t xml:space="preserve">regional </w:t>
      </w:r>
      <w:r w:rsidR="007C7D55" w:rsidRPr="001D7099">
        <w:rPr>
          <w:rFonts w:ascii="Times New Roman" w:hAnsi="Times New Roman"/>
          <w:sz w:val="20"/>
        </w:rPr>
        <w:t>de</w:t>
      </w:r>
      <w:r w:rsidRPr="001D7099">
        <w:rPr>
          <w:rFonts w:ascii="Times New Roman" w:hAnsi="Times New Roman"/>
          <w:sz w:val="20"/>
        </w:rPr>
        <w:t xml:space="preserve"> cada categoria profissional. </w:t>
      </w:r>
      <w:r w:rsidR="007C7D55" w:rsidRPr="001D7099">
        <w:rPr>
          <w:rFonts w:ascii="Times New Roman" w:hAnsi="Times New Roman"/>
          <w:sz w:val="20"/>
        </w:rPr>
        <w:t xml:space="preserve">Ou seja, os diferentes contributos regionais para o salário médio nacional </w:t>
      </w:r>
      <w:r w:rsidR="00B50EA2" w:rsidRPr="001D7099">
        <w:rPr>
          <w:rFonts w:ascii="Times New Roman" w:hAnsi="Times New Roman"/>
          <w:sz w:val="20"/>
        </w:rPr>
        <w:t>são</w:t>
      </w:r>
      <w:r w:rsidR="007C7D55" w:rsidRPr="001D7099">
        <w:rPr>
          <w:rFonts w:ascii="Times New Roman" w:hAnsi="Times New Roman"/>
          <w:sz w:val="20"/>
        </w:rPr>
        <w:t xml:space="preserve"> </w:t>
      </w:r>
      <w:r w:rsidR="00B50EA2" w:rsidRPr="001D7099">
        <w:rPr>
          <w:rFonts w:ascii="Times New Roman" w:hAnsi="Times New Roman"/>
          <w:sz w:val="20"/>
        </w:rPr>
        <w:t xml:space="preserve">apenas </w:t>
      </w:r>
      <w:r w:rsidR="007C7D55" w:rsidRPr="001D7099">
        <w:rPr>
          <w:rFonts w:ascii="Times New Roman" w:hAnsi="Times New Roman"/>
          <w:sz w:val="20"/>
        </w:rPr>
        <w:t xml:space="preserve">função de dois fatores: o peso populacional </w:t>
      </w:r>
      <w:r w:rsidR="00D406A4">
        <w:rPr>
          <w:rFonts w:ascii="Times New Roman" w:hAnsi="Times New Roman"/>
          <w:sz w:val="20"/>
        </w:rPr>
        <w:t xml:space="preserve">relativo </w:t>
      </w:r>
      <w:r w:rsidR="007C7D55" w:rsidRPr="001D7099">
        <w:rPr>
          <w:rFonts w:ascii="Times New Roman" w:hAnsi="Times New Roman"/>
          <w:sz w:val="20"/>
        </w:rPr>
        <w:t>e o</w:t>
      </w:r>
      <w:r w:rsidR="00D406A4">
        <w:rPr>
          <w:rFonts w:ascii="Times New Roman" w:hAnsi="Times New Roman"/>
          <w:sz w:val="20"/>
        </w:rPr>
        <w:t>s</w:t>
      </w:r>
      <w:r w:rsidR="007C7D55" w:rsidRPr="001D7099">
        <w:rPr>
          <w:rFonts w:ascii="Times New Roman" w:hAnsi="Times New Roman"/>
          <w:sz w:val="20"/>
        </w:rPr>
        <w:t xml:space="preserve"> índice</w:t>
      </w:r>
      <w:r w:rsidR="00D406A4">
        <w:rPr>
          <w:rFonts w:ascii="Times New Roman" w:hAnsi="Times New Roman"/>
          <w:sz w:val="20"/>
        </w:rPr>
        <w:t>s</w:t>
      </w:r>
      <w:r w:rsidR="007C7D55" w:rsidRPr="001D7099">
        <w:rPr>
          <w:rFonts w:ascii="Times New Roman" w:hAnsi="Times New Roman"/>
          <w:sz w:val="20"/>
        </w:rPr>
        <w:t xml:space="preserve"> de salários </w:t>
      </w:r>
      <w:r w:rsidR="00D406A4">
        <w:rPr>
          <w:rFonts w:ascii="Times New Roman" w:hAnsi="Times New Roman"/>
          <w:sz w:val="20"/>
        </w:rPr>
        <w:t>reais de cada região</w:t>
      </w:r>
      <w:r w:rsidR="007C7D55" w:rsidRPr="001D7099">
        <w:rPr>
          <w:rFonts w:ascii="Times New Roman" w:hAnsi="Times New Roman"/>
          <w:sz w:val="20"/>
        </w:rPr>
        <w:t>.</w:t>
      </w:r>
      <w:r w:rsidRPr="00D55BC9">
        <w:rPr>
          <w:rFonts w:ascii="Arial Nova" w:hAnsi="Arial Nova"/>
          <w:sz w:val="17"/>
          <w:szCs w:val="17"/>
        </w:rPr>
        <w:t xml:space="preserve"> </w:t>
      </w:r>
    </w:p>
  </w:footnote>
  <w:footnote w:id="3">
    <w:p w14:paraId="2744DF3C" w14:textId="00B1269A" w:rsidR="006923A5" w:rsidRPr="001D7099" w:rsidRDefault="006923A5" w:rsidP="006923A5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Palma &amp; Reis (2019, 487</w:t>
      </w:r>
      <w:r>
        <w:rPr>
          <w:rFonts w:ascii="Times New Roman" w:hAnsi="Times New Roman"/>
          <w:sz w:val="20"/>
        </w:rPr>
        <w:t xml:space="preserve"> </w:t>
      </w:r>
      <w:r w:rsidRPr="001D7099">
        <w:rPr>
          <w:rFonts w:ascii="Times New Roman" w:hAnsi="Times New Roman"/>
          <w:sz w:val="20"/>
        </w:rPr>
        <w:t>e nota 19</w:t>
      </w:r>
      <w:r>
        <w:rPr>
          <w:rFonts w:ascii="Times New Roman" w:hAnsi="Times New Roman"/>
          <w:sz w:val="20"/>
        </w:rPr>
        <w:t>)</w:t>
      </w:r>
      <w:r w:rsidRPr="001D7099">
        <w:rPr>
          <w:rFonts w:ascii="Times New Roman" w:hAnsi="Times New Roman"/>
          <w:sz w:val="20"/>
        </w:rPr>
        <w:t xml:space="preserve"> efetuam algumas alterações à composição do cesto de bens, incluindo variações a nível regional. A mais relevante é a substituição ao longo da cronologia do trigo pelo milho, excetuando na região de Évora. </w:t>
      </w:r>
    </w:p>
  </w:footnote>
  <w:footnote w:id="4">
    <w:p w14:paraId="3200E194" w14:textId="2F7CA7D2" w:rsidR="00D406A4" w:rsidRPr="00D406A4" w:rsidRDefault="00D406A4" w:rsidP="00D406A4">
      <w:pPr>
        <w:pStyle w:val="FootnoteText"/>
        <w:spacing w:line="276" w:lineRule="auto"/>
        <w:rPr>
          <w:rFonts w:ascii="Times New Roman" w:hAnsi="Times New Roman"/>
          <w:sz w:val="20"/>
        </w:rPr>
      </w:pPr>
      <w:r w:rsidRPr="00D406A4">
        <w:rPr>
          <w:rStyle w:val="FootnoteReference"/>
          <w:rFonts w:ascii="Times New Roman" w:hAnsi="Times New Roman"/>
          <w:sz w:val="20"/>
        </w:rPr>
        <w:footnoteRef/>
      </w:r>
      <w:r w:rsidRPr="00D406A4">
        <w:rPr>
          <w:rFonts w:ascii="Times New Roman" w:hAnsi="Times New Roman"/>
          <w:sz w:val="20"/>
        </w:rPr>
        <w:t xml:space="preserve"> Tal como relativamente à estrutura ocupacional, também </w:t>
      </w:r>
      <w:r w:rsidR="006923A5">
        <w:rPr>
          <w:rFonts w:ascii="Times New Roman" w:hAnsi="Times New Roman"/>
          <w:sz w:val="20"/>
        </w:rPr>
        <w:t xml:space="preserve">não foi efetuada </w:t>
      </w:r>
      <w:r w:rsidRPr="00D406A4">
        <w:rPr>
          <w:rFonts w:ascii="Times New Roman" w:hAnsi="Times New Roman"/>
          <w:sz w:val="20"/>
        </w:rPr>
        <w:t>diferenciação regional.</w:t>
      </w:r>
    </w:p>
  </w:footnote>
  <w:footnote w:id="5">
    <w:p w14:paraId="71DF59DE" w14:textId="782A7C08" w:rsidR="00685737" w:rsidRPr="00D55BC9" w:rsidRDefault="00685737" w:rsidP="00281AFC">
      <w:pPr>
        <w:pStyle w:val="FootnoteText"/>
        <w:spacing w:line="276" w:lineRule="auto"/>
        <w:ind w:left="142" w:hanging="142"/>
        <w:rPr>
          <w:sz w:val="17"/>
          <w:szCs w:val="17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A variação do input de trabalho entre extremos temporais (1527-1850) é por obtida por interpolação com base evolução da proporção do milho na coleta do dízimo na diocese de Viseu</w:t>
      </w:r>
      <w:r w:rsidR="00281AFC">
        <w:rPr>
          <w:rFonts w:ascii="Times New Roman" w:hAnsi="Times New Roman"/>
          <w:sz w:val="20"/>
        </w:rPr>
        <w:t xml:space="preserve"> (</w:t>
      </w:r>
      <w:r w:rsidRPr="001D7099">
        <w:rPr>
          <w:rFonts w:ascii="Times New Roman" w:hAnsi="Times New Roman"/>
          <w:sz w:val="20"/>
        </w:rPr>
        <w:t>Palma &amp; Reis 2019, 490). Contudo, os autores referem que os resultados não diferem significativamente caso fosse utilizada uma interpolação linear (</w:t>
      </w:r>
      <w:r w:rsidR="00281AFC">
        <w:rPr>
          <w:rFonts w:ascii="Times New Roman" w:hAnsi="Times New Roman"/>
          <w:sz w:val="20"/>
        </w:rPr>
        <w:t xml:space="preserve">idem, </w:t>
      </w:r>
      <w:r w:rsidRPr="001D7099">
        <w:rPr>
          <w:rFonts w:ascii="Times New Roman" w:hAnsi="Times New Roman"/>
          <w:sz w:val="20"/>
        </w:rPr>
        <w:t>nota 23).</w:t>
      </w:r>
      <w:r w:rsidRPr="00D55BC9">
        <w:rPr>
          <w:rFonts w:ascii="Arial Nova" w:hAnsi="Arial Nova"/>
          <w:sz w:val="17"/>
          <w:szCs w:val="17"/>
        </w:rPr>
        <w:t xml:space="preserve">  </w:t>
      </w:r>
    </w:p>
  </w:footnote>
  <w:footnote w:id="6">
    <w:p w14:paraId="08CF3D74" w14:textId="0AB678F5" w:rsidR="00AE4096" w:rsidRPr="001D7099" w:rsidRDefault="00AE4096" w:rsidP="00281AFC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Assumindo os valores correntes de elasticidades da procura face ao preço (a), da procura face ao rendimento (b) e a elasticidade cruzada com o preço de produtos não agrícolas (c).</w:t>
      </w:r>
    </w:p>
  </w:footnote>
  <w:footnote w:id="7">
    <w:p w14:paraId="5D9F9205" w14:textId="38CDE14B" w:rsidR="00EA79DE" w:rsidRPr="00D55BC9" w:rsidRDefault="00EA79DE" w:rsidP="00281AFC">
      <w:pPr>
        <w:pStyle w:val="FootnoteText"/>
        <w:spacing w:line="276" w:lineRule="auto"/>
        <w:ind w:left="142" w:hanging="142"/>
        <w:rPr>
          <w:rFonts w:ascii="Arial Nova" w:hAnsi="Arial Nova"/>
          <w:sz w:val="17"/>
          <w:szCs w:val="17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Não é explícito se o input de trabalho</w:t>
      </w:r>
      <w:r w:rsidR="00E726B6" w:rsidRPr="001D7099">
        <w:rPr>
          <w:rFonts w:ascii="Times New Roman" w:hAnsi="Times New Roman"/>
          <w:sz w:val="20"/>
        </w:rPr>
        <w:t>,</w:t>
      </w:r>
      <w:r w:rsidRPr="001D7099">
        <w:rPr>
          <w:rFonts w:ascii="Times New Roman" w:hAnsi="Times New Roman"/>
          <w:sz w:val="20"/>
        </w:rPr>
        <w:t xml:space="preserve"> total </w:t>
      </w:r>
      <w:r w:rsidR="00E726B6" w:rsidRPr="001D7099">
        <w:rPr>
          <w:rFonts w:ascii="Times New Roman" w:hAnsi="Times New Roman"/>
          <w:sz w:val="20"/>
        </w:rPr>
        <w:t xml:space="preserve">e setorial, </w:t>
      </w:r>
      <w:r w:rsidRPr="001D7099">
        <w:rPr>
          <w:rFonts w:ascii="Times New Roman" w:hAnsi="Times New Roman"/>
          <w:sz w:val="20"/>
        </w:rPr>
        <w:t xml:space="preserve">considera a variação </w:t>
      </w:r>
      <w:r w:rsidR="00E726B6" w:rsidRPr="001D7099">
        <w:rPr>
          <w:rFonts w:ascii="Times New Roman" w:hAnsi="Times New Roman"/>
          <w:sz w:val="20"/>
        </w:rPr>
        <w:t xml:space="preserve">anual </w:t>
      </w:r>
      <w:r w:rsidRPr="001D7099">
        <w:rPr>
          <w:rFonts w:ascii="Times New Roman" w:hAnsi="Times New Roman"/>
          <w:sz w:val="20"/>
        </w:rPr>
        <w:t>do número de dias de trabalho ao longo da cronologia</w:t>
      </w:r>
      <w:r w:rsidR="0035112F">
        <w:rPr>
          <w:rFonts w:ascii="Times New Roman" w:hAnsi="Times New Roman"/>
          <w:sz w:val="20"/>
        </w:rPr>
        <w:t>.</w:t>
      </w:r>
      <w:r w:rsidR="00E726B6" w:rsidRPr="001D7099">
        <w:rPr>
          <w:rFonts w:ascii="Times New Roman" w:hAnsi="Times New Roman"/>
          <w:sz w:val="20"/>
        </w:rPr>
        <w:t xml:space="preserve"> </w:t>
      </w:r>
      <w:r w:rsidR="005B21AE" w:rsidRPr="001D7099">
        <w:rPr>
          <w:rFonts w:ascii="Times New Roman" w:hAnsi="Times New Roman"/>
          <w:sz w:val="20"/>
        </w:rPr>
        <w:t>Pfister</w:t>
      </w:r>
      <w:r w:rsidRPr="001D7099">
        <w:rPr>
          <w:rFonts w:ascii="Times New Roman" w:hAnsi="Times New Roman"/>
          <w:sz w:val="20"/>
        </w:rPr>
        <w:t xml:space="preserve"> </w:t>
      </w:r>
      <w:r w:rsidRPr="001D7099">
        <w:rPr>
          <w:rFonts w:ascii="Times New Roman" w:hAnsi="Times New Roman"/>
          <w:i/>
          <w:iCs/>
          <w:sz w:val="20"/>
        </w:rPr>
        <w:t>et al</w:t>
      </w:r>
      <w:r w:rsidR="00211AE7" w:rsidRPr="001D7099">
        <w:rPr>
          <w:rFonts w:ascii="Times New Roman" w:hAnsi="Times New Roman"/>
          <w:i/>
          <w:iCs/>
          <w:sz w:val="20"/>
        </w:rPr>
        <w:t>.</w:t>
      </w:r>
      <w:r w:rsidRPr="001D7099">
        <w:rPr>
          <w:rFonts w:ascii="Times New Roman" w:hAnsi="Times New Roman"/>
          <w:sz w:val="20"/>
        </w:rPr>
        <w:t xml:space="preserve"> (2012)</w:t>
      </w:r>
      <w:r w:rsidR="00E726B6" w:rsidRPr="001D7099">
        <w:rPr>
          <w:rFonts w:ascii="Times New Roman" w:hAnsi="Times New Roman"/>
          <w:sz w:val="20"/>
        </w:rPr>
        <w:t xml:space="preserve"> </w:t>
      </w:r>
      <w:r w:rsidR="0035112F">
        <w:rPr>
          <w:rFonts w:ascii="Times New Roman" w:hAnsi="Times New Roman"/>
          <w:sz w:val="20"/>
        </w:rPr>
        <w:t xml:space="preserve">definem </w:t>
      </w:r>
      <w:r w:rsidR="00E726B6" w:rsidRPr="001D7099">
        <w:rPr>
          <w:rFonts w:ascii="Times New Roman" w:hAnsi="Times New Roman"/>
          <w:sz w:val="20"/>
        </w:rPr>
        <w:t>o termo como “</w:t>
      </w:r>
      <w:r w:rsidR="00B130ED" w:rsidRPr="001D7099">
        <w:rPr>
          <w:rFonts w:ascii="Times New Roman" w:hAnsi="Times New Roman"/>
          <w:sz w:val="20"/>
        </w:rPr>
        <w:t>…</w:t>
      </w:r>
      <w:r w:rsidR="00E726B6" w:rsidRPr="001D7099">
        <w:rPr>
          <w:rFonts w:ascii="Times New Roman" w:hAnsi="Times New Roman"/>
          <w:sz w:val="20"/>
        </w:rPr>
        <w:t>the share of agricultural employment in</w:t>
      </w:r>
      <w:r w:rsidR="00B130ED" w:rsidRPr="001D7099">
        <w:rPr>
          <w:rFonts w:ascii="Times New Roman" w:hAnsi="Times New Roman"/>
          <w:sz w:val="20"/>
        </w:rPr>
        <w:t xml:space="preserve"> </w:t>
      </w:r>
      <w:r w:rsidR="00E726B6" w:rsidRPr="001D7099">
        <w:rPr>
          <w:rFonts w:ascii="Times New Roman" w:hAnsi="Times New Roman"/>
          <w:sz w:val="20"/>
        </w:rPr>
        <w:t>the tota</w:t>
      </w:r>
      <w:r w:rsidR="00B130ED" w:rsidRPr="001D7099">
        <w:rPr>
          <w:rFonts w:ascii="Times New Roman" w:hAnsi="Times New Roman"/>
          <w:sz w:val="20"/>
        </w:rPr>
        <w:t>l labour force”</w:t>
      </w:r>
      <w:r w:rsidR="00E726B6" w:rsidRPr="001D7099">
        <w:rPr>
          <w:rFonts w:ascii="Times New Roman" w:hAnsi="Times New Roman"/>
          <w:sz w:val="20"/>
        </w:rPr>
        <w:t xml:space="preserve"> </w:t>
      </w:r>
      <w:r w:rsidR="00D22EA7" w:rsidRPr="001D7099">
        <w:rPr>
          <w:rFonts w:ascii="Times New Roman" w:hAnsi="Times New Roman"/>
          <w:sz w:val="20"/>
        </w:rPr>
        <w:t xml:space="preserve">pelo que </w:t>
      </w:r>
      <w:r w:rsidR="00B130ED" w:rsidRPr="001D7099">
        <w:rPr>
          <w:rFonts w:ascii="Times New Roman" w:hAnsi="Times New Roman"/>
          <w:sz w:val="20"/>
        </w:rPr>
        <w:t xml:space="preserve">será </w:t>
      </w:r>
      <w:r w:rsidR="00D22EA7" w:rsidRPr="001D7099">
        <w:rPr>
          <w:rFonts w:ascii="Times New Roman" w:hAnsi="Times New Roman"/>
          <w:sz w:val="20"/>
        </w:rPr>
        <w:t xml:space="preserve">assumida </w:t>
      </w:r>
      <w:r w:rsidR="00E179B1" w:rsidRPr="001D7099">
        <w:rPr>
          <w:rFonts w:ascii="Times New Roman" w:hAnsi="Times New Roman"/>
          <w:sz w:val="20"/>
        </w:rPr>
        <w:t>essa</w:t>
      </w:r>
      <w:r w:rsidR="00B130ED" w:rsidRPr="001D7099">
        <w:rPr>
          <w:rFonts w:ascii="Times New Roman" w:hAnsi="Times New Roman"/>
          <w:sz w:val="20"/>
        </w:rPr>
        <w:t xml:space="preserve"> equivalência </w:t>
      </w:r>
      <w:r w:rsidRPr="001D7099">
        <w:rPr>
          <w:rFonts w:ascii="Times New Roman" w:hAnsi="Times New Roman"/>
          <w:sz w:val="20"/>
        </w:rPr>
        <w:t xml:space="preserve">nos cálculos </w:t>
      </w:r>
      <w:r w:rsidR="00D22EA7" w:rsidRPr="001D7099">
        <w:rPr>
          <w:rFonts w:ascii="Times New Roman" w:hAnsi="Times New Roman"/>
          <w:sz w:val="20"/>
        </w:rPr>
        <w:t>subsequentes</w:t>
      </w:r>
      <w:r w:rsidR="00605620">
        <w:rPr>
          <w:rFonts w:ascii="Times New Roman" w:hAnsi="Times New Roman"/>
          <w:sz w:val="20"/>
        </w:rPr>
        <w:t>. Ou seja, não considerando o input de trabalho pc</w:t>
      </w:r>
      <w:r w:rsidRPr="001D7099">
        <w:rPr>
          <w:rFonts w:ascii="Times New Roman" w:hAnsi="Times New Roman"/>
          <w:sz w:val="20"/>
        </w:rPr>
        <w:t>.</w:t>
      </w:r>
    </w:p>
  </w:footnote>
  <w:footnote w:id="8">
    <w:p w14:paraId="3B955D12" w14:textId="77777777" w:rsidR="00605620" w:rsidRPr="001D7099" w:rsidRDefault="00605620" w:rsidP="00605620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Em Inglaterra das estimativas da fração de população agrícola para c. 1750 variam entre 44% (Shaw-Taylor  2009a) e 37% (Broadberry </w:t>
      </w:r>
      <w:r w:rsidRPr="001D7099">
        <w:rPr>
          <w:rFonts w:ascii="Times New Roman" w:hAnsi="Times New Roman"/>
          <w:i/>
          <w:iCs/>
          <w:sz w:val="20"/>
        </w:rPr>
        <w:t>et al.</w:t>
      </w:r>
      <w:r w:rsidRPr="001D7099">
        <w:rPr>
          <w:rFonts w:ascii="Times New Roman" w:hAnsi="Times New Roman"/>
          <w:sz w:val="20"/>
        </w:rPr>
        <w:t xml:space="preserve"> 2015, 362) </w:t>
      </w:r>
    </w:p>
  </w:footnote>
  <w:footnote w:id="9">
    <w:p w14:paraId="0F5E62CA" w14:textId="5772E5D4" w:rsidR="003E3633" w:rsidRPr="00CB599A" w:rsidRDefault="003E3633" w:rsidP="00E053DD">
      <w:pPr>
        <w:pStyle w:val="FootnoteText"/>
        <w:spacing w:line="276" w:lineRule="auto"/>
        <w:ind w:left="142" w:hanging="142"/>
        <w:rPr>
          <w:rFonts w:ascii="Arial Nova" w:hAnsi="Arial Nova"/>
          <w:szCs w:val="18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Seguindo o mesmo critério de P&gt;5000 hab., Inglaterra apresentava um valor de 22</w:t>
      </w:r>
      <w:r w:rsidR="00CB599A" w:rsidRPr="001D7099">
        <w:rPr>
          <w:rFonts w:ascii="Times New Roman" w:hAnsi="Times New Roman"/>
          <w:sz w:val="20"/>
        </w:rPr>
        <w:t>%</w:t>
      </w:r>
      <w:r w:rsidRPr="001D7099">
        <w:rPr>
          <w:rFonts w:ascii="Times New Roman" w:hAnsi="Times New Roman"/>
          <w:sz w:val="20"/>
        </w:rPr>
        <w:t xml:space="preserve"> e o Norte de Itália de 19%</w:t>
      </w:r>
      <w:r w:rsidR="00605620">
        <w:rPr>
          <w:rFonts w:ascii="Times New Roman" w:hAnsi="Times New Roman"/>
          <w:sz w:val="20"/>
        </w:rPr>
        <w:t xml:space="preserve">. </w:t>
      </w:r>
    </w:p>
  </w:footnote>
  <w:footnote w:id="10">
    <w:p w14:paraId="68EFC70D" w14:textId="22463229" w:rsidR="00064AF8" w:rsidRPr="001D7099" w:rsidRDefault="00064AF8" w:rsidP="00E053DD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Assumindo o valor de Lains (2003, 41) para 1913 (1244 GK 1990) e as taxas de crescimento do PIB pc do apêndice estatístico correspondente (</w:t>
      </w:r>
      <w:r w:rsidR="00694E7A">
        <w:rPr>
          <w:rFonts w:ascii="Times New Roman" w:hAnsi="Times New Roman"/>
          <w:sz w:val="20"/>
        </w:rPr>
        <w:t>idem,</w:t>
      </w:r>
      <w:r w:rsidRPr="001D7099">
        <w:rPr>
          <w:rFonts w:ascii="Times New Roman" w:hAnsi="Times New Roman"/>
          <w:sz w:val="20"/>
        </w:rPr>
        <w:t xml:space="preserve"> 247-256). </w:t>
      </w:r>
    </w:p>
  </w:footnote>
  <w:footnote w:id="11">
    <w:p w14:paraId="51B435AF" w14:textId="3A3FC1AE" w:rsidR="00064AF8" w:rsidRPr="001D7099" w:rsidRDefault="00064AF8" w:rsidP="00694E7A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Assumindo o valor de PIB real de Palma &amp; Reis (2019) para 1850, e aplicando as taxas de crescimento de Lains (2003). Os dados da população referente</w:t>
      </w:r>
      <w:r w:rsidR="009F66CD" w:rsidRPr="001D7099">
        <w:rPr>
          <w:rFonts w:ascii="Times New Roman" w:hAnsi="Times New Roman"/>
          <w:sz w:val="20"/>
        </w:rPr>
        <w:t>s</w:t>
      </w:r>
      <w:r w:rsidRPr="001D7099">
        <w:rPr>
          <w:rFonts w:ascii="Times New Roman" w:hAnsi="Times New Roman"/>
          <w:sz w:val="20"/>
        </w:rPr>
        <w:t xml:space="preserve"> ao censo de 1878 para Portugal Continental, a partir de </w:t>
      </w:r>
      <w:r w:rsidR="009F66CD" w:rsidRPr="001D7099">
        <w:rPr>
          <w:rFonts w:ascii="Times New Roman" w:hAnsi="Times New Roman"/>
          <w:sz w:val="20"/>
        </w:rPr>
        <w:t xml:space="preserve">Rodrigues </w:t>
      </w:r>
      <w:r w:rsidRPr="001D7099">
        <w:rPr>
          <w:rFonts w:ascii="Times New Roman" w:hAnsi="Times New Roman"/>
          <w:sz w:val="20"/>
        </w:rPr>
        <w:t>(2004</w:t>
      </w:r>
      <w:r w:rsidR="00180978" w:rsidRPr="001D7099">
        <w:rPr>
          <w:rFonts w:ascii="Times New Roman" w:hAnsi="Times New Roman"/>
          <w:sz w:val="20"/>
        </w:rPr>
        <w:t>, 21</w:t>
      </w:r>
      <w:r w:rsidRPr="001D7099">
        <w:rPr>
          <w:rFonts w:ascii="Times New Roman" w:hAnsi="Times New Roman"/>
          <w:sz w:val="20"/>
        </w:rPr>
        <w:t>)</w:t>
      </w:r>
      <w:r w:rsidR="00180978" w:rsidRPr="001D7099">
        <w:rPr>
          <w:rFonts w:ascii="Times New Roman" w:hAnsi="Times New Roman"/>
          <w:sz w:val="20"/>
        </w:rPr>
        <w:t>.</w:t>
      </w:r>
      <w:r w:rsidRPr="001D7099">
        <w:rPr>
          <w:rFonts w:ascii="Times New Roman" w:hAnsi="Times New Roman"/>
          <w:sz w:val="20"/>
        </w:rPr>
        <w:t xml:space="preserve"> </w:t>
      </w:r>
    </w:p>
  </w:footnote>
  <w:footnote w:id="12">
    <w:p w14:paraId="6C194465" w14:textId="383640EC" w:rsidR="00C81E24" w:rsidRPr="00C81E24" w:rsidRDefault="00C81E24" w:rsidP="00C81E24">
      <w:pPr>
        <w:pStyle w:val="FootnoteText"/>
        <w:spacing w:line="276" w:lineRule="auto"/>
        <w:rPr>
          <w:rFonts w:ascii="Times New Roman" w:hAnsi="Times New Roman"/>
          <w:sz w:val="20"/>
        </w:rPr>
      </w:pPr>
      <w:r w:rsidRPr="00C81E24">
        <w:rPr>
          <w:rStyle w:val="FootnoteReference"/>
          <w:rFonts w:ascii="Times New Roman" w:hAnsi="Times New Roman"/>
          <w:sz w:val="20"/>
        </w:rPr>
        <w:footnoteRef/>
      </w:r>
      <w:r w:rsidRPr="00C81E24">
        <w:rPr>
          <w:rFonts w:ascii="Times New Roman" w:hAnsi="Times New Roman"/>
          <w:sz w:val="20"/>
        </w:rPr>
        <w:t xml:space="preserve"> Em valor absoluto, a categoria RNAG era, em 1850, idêntica, à de c.1675.</w:t>
      </w:r>
    </w:p>
  </w:footnote>
  <w:footnote w:id="13">
    <w:p w14:paraId="097C4D00" w14:textId="79FF031E" w:rsidR="00064AF8" w:rsidRPr="00DA684D" w:rsidRDefault="00064AF8" w:rsidP="00694E7A">
      <w:pPr>
        <w:pStyle w:val="FootnoteText"/>
        <w:spacing w:line="276" w:lineRule="auto"/>
        <w:rPr>
          <w:rFonts w:ascii="Arial Nova" w:hAnsi="Arial Nova"/>
          <w:szCs w:val="18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Broadberry </w:t>
      </w:r>
      <w:r w:rsidRPr="001D7099">
        <w:rPr>
          <w:rFonts w:ascii="Times New Roman" w:hAnsi="Times New Roman"/>
          <w:i/>
          <w:iCs/>
          <w:sz w:val="20"/>
        </w:rPr>
        <w:t>et al.</w:t>
      </w:r>
      <w:r w:rsidRPr="001D7099">
        <w:rPr>
          <w:rFonts w:ascii="Times New Roman" w:hAnsi="Times New Roman"/>
          <w:sz w:val="20"/>
        </w:rPr>
        <w:t xml:space="preserve"> (2015, 236-241).</w:t>
      </w:r>
      <w:r w:rsidRPr="00DA684D">
        <w:rPr>
          <w:rFonts w:ascii="Arial Nova" w:hAnsi="Arial Nova"/>
          <w:szCs w:val="18"/>
        </w:rPr>
        <w:t xml:space="preserve"> </w:t>
      </w:r>
    </w:p>
  </w:footnote>
  <w:footnote w:id="14">
    <w:p w14:paraId="2D69FAD0" w14:textId="70C2DE84" w:rsidR="00DE1FA5" w:rsidRPr="008906F1" w:rsidRDefault="00DE1FA5" w:rsidP="00694E7A">
      <w:pPr>
        <w:pStyle w:val="FootnoteText"/>
        <w:spacing w:line="276" w:lineRule="auto"/>
        <w:rPr>
          <w:rFonts w:ascii="Times New Roman" w:hAnsi="Times New Roman"/>
          <w:sz w:val="20"/>
        </w:rPr>
      </w:pPr>
      <w:r w:rsidRPr="008906F1">
        <w:rPr>
          <w:rStyle w:val="FootnoteReference"/>
          <w:rFonts w:ascii="Times New Roman" w:hAnsi="Times New Roman"/>
          <w:sz w:val="20"/>
        </w:rPr>
        <w:footnoteRef/>
      </w:r>
      <w:r w:rsidRPr="008906F1">
        <w:rPr>
          <w:rFonts w:ascii="Times New Roman" w:hAnsi="Times New Roman"/>
          <w:sz w:val="20"/>
        </w:rPr>
        <w:t xml:space="preserve"> O que, como veremos, é </w:t>
      </w:r>
      <w:r w:rsidR="008906F1" w:rsidRPr="008906F1">
        <w:rPr>
          <w:rFonts w:ascii="Times New Roman" w:hAnsi="Times New Roman"/>
          <w:sz w:val="20"/>
        </w:rPr>
        <w:t xml:space="preserve">intrínseco à </w:t>
      </w:r>
      <w:r w:rsidRPr="008906F1">
        <w:rPr>
          <w:rFonts w:ascii="Times New Roman" w:hAnsi="Times New Roman"/>
          <w:sz w:val="20"/>
        </w:rPr>
        <w:t>metodologia utilizada por Palma &amp; Reis (2019)</w:t>
      </w:r>
      <w:r w:rsidR="008906F1" w:rsidRPr="008906F1">
        <w:rPr>
          <w:rFonts w:ascii="Times New Roman" w:hAnsi="Times New Roman"/>
          <w:sz w:val="20"/>
        </w:rPr>
        <w:t>.</w:t>
      </w:r>
      <w:r w:rsidRPr="008906F1">
        <w:rPr>
          <w:rFonts w:ascii="Times New Roman" w:hAnsi="Times New Roman"/>
          <w:sz w:val="20"/>
        </w:rPr>
        <w:t xml:space="preserve"> </w:t>
      </w:r>
    </w:p>
  </w:footnote>
  <w:footnote w:id="15">
    <w:p w14:paraId="2120B6A3" w14:textId="4FB9633B" w:rsidR="00DE1FA5" w:rsidRPr="001D7099" w:rsidRDefault="00DE1FA5" w:rsidP="00694E7A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1D7099">
        <w:rPr>
          <w:rStyle w:val="FootnoteReference"/>
          <w:rFonts w:ascii="Times New Roman" w:hAnsi="Times New Roman"/>
          <w:sz w:val="20"/>
        </w:rPr>
        <w:footnoteRef/>
      </w:r>
      <w:r w:rsidRPr="001D7099">
        <w:rPr>
          <w:rFonts w:ascii="Times New Roman" w:hAnsi="Times New Roman"/>
          <w:sz w:val="20"/>
        </w:rPr>
        <w:t xml:space="preserve"> Apesar de se tratar de uma simplificação, Palma &amp; Reis </w:t>
      </w:r>
      <w:r w:rsidR="009E21E1">
        <w:rPr>
          <w:rFonts w:ascii="Times New Roman" w:hAnsi="Times New Roman"/>
          <w:sz w:val="20"/>
        </w:rPr>
        <w:t xml:space="preserve">(2019, </w:t>
      </w:r>
      <w:r w:rsidR="009E21E1" w:rsidRPr="001D7099">
        <w:rPr>
          <w:rFonts w:ascii="Times New Roman" w:hAnsi="Times New Roman"/>
          <w:sz w:val="20"/>
        </w:rPr>
        <w:t>490 e Nota 23)</w:t>
      </w:r>
      <w:r w:rsidR="009E21E1">
        <w:rPr>
          <w:rFonts w:ascii="Times New Roman" w:hAnsi="Times New Roman"/>
          <w:sz w:val="20"/>
        </w:rPr>
        <w:t xml:space="preserve"> </w:t>
      </w:r>
      <w:r w:rsidRPr="001D7099">
        <w:rPr>
          <w:rFonts w:ascii="Times New Roman" w:hAnsi="Times New Roman"/>
          <w:sz w:val="20"/>
        </w:rPr>
        <w:t>referem que o resultado obtido por intermédio da interpolação linear não difere consideravelmente do método que utilizaram</w:t>
      </w:r>
      <w:r w:rsidR="009E21E1">
        <w:rPr>
          <w:rFonts w:ascii="Times New Roman" w:hAnsi="Times New Roman"/>
          <w:sz w:val="20"/>
        </w:rPr>
        <w:t>.</w:t>
      </w:r>
    </w:p>
  </w:footnote>
  <w:footnote w:id="16">
    <w:p w14:paraId="6A3A9477" w14:textId="1F9FE24A" w:rsidR="00C15EFA" w:rsidRPr="002F700A" w:rsidRDefault="00C15EFA" w:rsidP="004B4BA8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A população agrícola aumentou 4,5% entre 1600-1750, o que sugere um crescimento significativo da produtividade da mão-de-obra do setor (assumindo a estabilidade do fator terra durante o período) (cf. Anexo II). </w:t>
      </w:r>
    </w:p>
  </w:footnote>
  <w:footnote w:id="17">
    <w:p w14:paraId="41E03E1B" w14:textId="77777777" w:rsidR="000931D9" w:rsidRPr="0065116C" w:rsidRDefault="000931D9" w:rsidP="0065116C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65116C">
        <w:rPr>
          <w:rStyle w:val="FootnoteReference"/>
          <w:rFonts w:ascii="Times New Roman" w:hAnsi="Times New Roman"/>
          <w:sz w:val="20"/>
        </w:rPr>
        <w:footnoteRef/>
      </w:r>
      <w:r w:rsidRPr="0065116C">
        <w:rPr>
          <w:rFonts w:ascii="Times New Roman" w:hAnsi="Times New Roman"/>
          <w:sz w:val="20"/>
        </w:rPr>
        <w:t xml:space="preserve"> Foi assumido um skill premium igual à média dos skill premia de cada um dos intervalos cronológicos considerados. Ou seja, 1,8525; 1,7105; 1,8519, respetivamente.  </w:t>
      </w:r>
    </w:p>
  </w:footnote>
  <w:footnote w:id="18">
    <w:p w14:paraId="7379CD21" w14:textId="0C1032F2" w:rsidR="0065116C" w:rsidRDefault="0065116C" w:rsidP="0065116C">
      <w:pPr>
        <w:pStyle w:val="FootnoteText"/>
        <w:spacing w:line="276" w:lineRule="auto"/>
      </w:pPr>
      <w:r w:rsidRPr="0065116C">
        <w:rPr>
          <w:rStyle w:val="FootnoteReference"/>
          <w:rFonts w:ascii="Times New Roman" w:hAnsi="Times New Roman"/>
          <w:sz w:val="20"/>
        </w:rPr>
        <w:footnoteRef/>
      </w:r>
      <w:r w:rsidRPr="0065116C">
        <w:rPr>
          <w:rFonts w:ascii="Times New Roman" w:hAnsi="Times New Roman"/>
          <w:sz w:val="20"/>
        </w:rPr>
        <w:t xml:space="preserve"> Durante este período, o input trabalho aumentou 3% na categoria urbana, 11% na RNAG e 26% na Agrícola</w:t>
      </w:r>
    </w:p>
  </w:footnote>
  <w:footnote w:id="19">
    <w:p w14:paraId="2F3BEC4E" w14:textId="4AB706E9" w:rsidR="00F075CB" w:rsidRPr="002F700A" w:rsidRDefault="00F075CB" w:rsidP="00694E7A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Recorde-se que a contribuição anual para a formação do ISR não considera o nível de crescimento verificado. Para crescimentos suficientemente elevados</w:t>
      </w:r>
      <w:r w:rsidR="00AF6C37" w:rsidRPr="002F700A">
        <w:rPr>
          <w:rFonts w:ascii="Times New Roman" w:hAnsi="Times New Roman"/>
          <w:sz w:val="20"/>
        </w:rPr>
        <w:t xml:space="preserve"> (ou declínios)</w:t>
      </w:r>
      <w:r w:rsidRPr="002F700A">
        <w:rPr>
          <w:rFonts w:ascii="Times New Roman" w:hAnsi="Times New Roman"/>
          <w:sz w:val="20"/>
        </w:rPr>
        <w:t xml:space="preserve">, esses dois valores </w:t>
      </w:r>
      <w:r w:rsidR="004E0B41" w:rsidRPr="002F700A">
        <w:rPr>
          <w:rFonts w:ascii="Times New Roman" w:hAnsi="Times New Roman"/>
          <w:sz w:val="20"/>
        </w:rPr>
        <w:t>tendem a convergir</w:t>
      </w:r>
      <w:r w:rsidRPr="002F700A">
        <w:rPr>
          <w:rFonts w:ascii="Times New Roman" w:hAnsi="Times New Roman"/>
          <w:sz w:val="20"/>
        </w:rPr>
        <w:t>.</w:t>
      </w:r>
    </w:p>
  </w:footnote>
  <w:footnote w:id="20">
    <w:p w14:paraId="0599E71C" w14:textId="5FA4B56A" w:rsidR="00304E13" w:rsidRPr="002F700A" w:rsidRDefault="00304E13" w:rsidP="00304E13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Palma &amp; Reis (2019</w:t>
      </w:r>
      <w:r>
        <w:rPr>
          <w:rFonts w:ascii="Times New Roman" w:hAnsi="Times New Roman"/>
          <w:sz w:val="20"/>
        </w:rPr>
        <w:t>, 482 e nota 10</w:t>
      </w:r>
      <w:r w:rsidRPr="002F700A">
        <w:rPr>
          <w:rFonts w:ascii="Times New Roman" w:hAnsi="Times New Roman"/>
          <w:sz w:val="20"/>
        </w:rPr>
        <w:t xml:space="preserve">) reconhecem esta limitação indicando que as fontes não permitem efetuar uma distinção por atividades económicas. Ou seja, a atividade económica da componente RNAG </w:t>
      </w:r>
      <w:r>
        <w:rPr>
          <w:rFonts w:ascii="Times New Roman" w:hAnsi="Times New Roman"/>
          <w:sz w:val="20"/>
        </w:rPr>
        <w:t xml:space="preserve">tanto </w:t>
      </w:r>
      <w:r w:rsidRPr="002F700A">
        <w:rPr>
          <w:rFonts w:ascii="Times New Roman" w:hAnsi="Times New Roman"/>
          <w:sz w:val="20"/>
        </w:rPr>
        <w:t>pode</w:t>
      </w:r>
      <w:r>
        <w:rPr>
          <w:rFonts w:ascii="Times New Roman" w:hAnsi="Times New Roman"/>
          <w:sz w:val="20"/>
        </w:rPr>
        <w:t xml:space="preserve"> </w:t>
      </w:r>
      <w:r w:rsidRPr="002F700A">
        <w:rPr>
          <w:rFonts w:ascii="Times New Roman" w:hAnsi="Times New Roman"/>
          <w:sz w:val="20"/>
        </w:rPr>
        <w:t>ser idêntica à dos meios urbanos, apenas com um skill premium inferior</w:t>
      </w:r>
      <w:r>
        <w:rPr>
          <w:rFonts w:ascii="Times New Roman" w:hAnsi="Times New Roman"/>
          <w:sz w:val="20"/>
        </w:rPr>
        <w:t xml:space="preserve">, como </w:t>
      </w:r>
      <w:r w:rsidR="00A3407E">
        <w:rPr>
          <w:rFonts w:ascii="Times New Roman" w:hAnsi="Times New Roman"/>
          <w:sz w:val="20"/>
        </w:rPr>
        <w:t xml:space="preserve">ser totalmente diversa, representando uma </w:t>
      </w:r>
      <w:r>
        <w:rPr>
          <w:rFonts w:ascii="Times New Roman" w:hAnsi="Times New Roman"/>
          <w:sz w:val="20"/>
        </w:rPr>
        <w:t>extensão da cadeia de valor da agricultura</w:t>
      </w:r>
      <w:r w:rsidR="008C5318">
        <w:rPr>
          <w:rFonts w:ascii="Times New Roman" w:hAnsi="Times New Roman"/>
          <w:sz w:val="20"/>
        </w:rPr>
        <w:t xml:space="preserve"> (transporte, comércio)</w:t>
      </w:r>
      <w:r>
        <w:rPr>
          <w:rFonts w:ascii="Times New Roman" w:hAnsi="Times New Roman"/>
          <w:sz w:val="20"/>
        </w:rPr>
        <w:t>.</w:t>
      </w:r>
      <w:r w:rsidRPr="002F700A">
        <w:rPr>
          <w:rFonts w:ascii="Times New Roman" w:hAnsi="Times New Roman"/>
          <w:sz w:val="20"/>
        </w:rPr>
        <w:t xml:space="preserve"> </w:t>
      </w:r>
    </w:p>
  </w:footnote>
  <w:footnote w:id="21">
    <w:p w14:paraId="4A9A4B7C" w14:textId="77777777" w:rsidR="00304E13" w:rsidRPr="00530D97" w:rsidRDefault="00304E13" w:rsidP="00304E13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530D97">
        <w:rPr>
          <w:rStyle w:val="FootnoteReference"/>
          <w:rFonts w:ascii="Times New Roman" w:hAnsi="Times New Roman"/>
          <w:sz w:val="20"/>
        </w:rPr>
        <w:footnoteRef/>
      </w:r>
      <w:r w:rsidRPr="00530D97">
        <w:rPr>
          <w:rFonts w:ascii="Times New Roman" w:hAnsi="Times New Roman"/>
          <w:sz w:val="20"/>
        </w:rPr>
        <w:t xml:space="preserve"> Como mencionado na secção 2.1, os salários da categoria RNAG foram estimados </w:t>
      </w:r>
      <w:r>
        <w:rPr>
          <w:rFonts w:ascii="Times New Roman" w:hAnsi="Times New Roman"/>
          <w:sz w:val="20"/>
        </w:rPr>
        <w:t xml:space="preserve">indiretamente </w:t>
      </w:r>
      <w:r w:rsidRPr="00530D97">
        <w:rPr>
          <w:rFonts w:ascii="Times New Roman" w:hAnsi="Times New Roman"/>
          <w:sz w:val="20"/>
        </w:rPr>
        <w:t>a partir da dos salários dos trabalhadores qualificados e não qualificados</w:t>
      </w:r>
    </w:p>
  </w:footnote>
  <w:footnote w:id="22">
    <w:p w14:paraId="763FB4FD" w14:textId="77777777" w:rsidR="00C63522" w:rsidRPr="002F700A" w:rsidRDefault="00C63522" w:rsidP="00C63522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A predominância do trabalho jornaleiro e a concentração da propriedade seriam entraves ao desenvolvimento de uma indústria rural (Ver Silbert 1978, 677).</w:t>
      </w:r>
    </w:p>
  </w:footnote>
  <w:footnote w:id="23">
    <w:p w14:paraId="050F5635" w14:textId="77777777" w:rsidR="00C63522" w:rsidRPr="00FF1508" w:rsidRDefault="00C63522" w:rsidP="00C63522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No final dos Setecentos, representava menos de 10% do valor da exportações têxteis (Pedreira 2021, 38-9).</w:t>
      </w:r>
    </w:p>
  </w:footnote>
  <w:footnote w:id="24">
    <w:p w14:paraId="38C0E6DB" w14:textId="6B555E84" w:rsidR="00A3407E" w:rsidRPr="002F700A" w:rsidRDefault="00A3407E" w:rsidP="00A3407E">
      <w:pPr>
        <w:pStyle w:val="FootnoteText"/>
        <w:spacing w:line="276" w:lineRule="auto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Ver Sousa (1995) para uma discussão sobre a informação recolhida </w:t>
      </w:r>
      <w:r>
        <w:rPr>
          <w:rFonts w:ascii="Times New Roman" w:hAnsi="Times New Roman"/>
          <w:sz w:val="20"/>
        </w:rPr>
        <w:t>ness</w:t>
      </w:r>
      <w:r w:rsidR="009F524C"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z w:val="20"/>
        </w:rPr>
        <w:t xml:space="preserve"> </w:t>
      </w:r>
      <w:r w:rsidR="009F524C">
        <w:rPr>
          <w:rFonts w:ascii="Times New Roman" w:hAnsi="Times New Roman"/>
          <w:sz w:val="20"/>
        </w:rPr>
        <w:t>trabalhos</w:t>
      </w:r>
      <w:r w:rsidRPr="002F700A">
        <w:rPr>
          <w:rFonts w:ascii="Times New Roman" w:hAnsi="Times New Roman"/>
          <w:sz w:val="20"/>
        </w:rPr>
        <w:t xml:space="preserve">. </w:t>
      </w:r>
    </w:p>
  </w:footnote>
  <w:footnote w:id="25">
    <w:p w14:paraId="5B6521AE" w14:textId="77777777" w:rsidR="00A3407E" w:rsidRPr="002F700A" w:rsidRDefault="00A3407E" w:rsidP="00A3407E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Os censos só se tornam nominativos em 1864</w:t>
      </w:r>
      <w:r>
        <w:rPr>
          <w:rFonts w:ascii="Times New Roman" w:hAnsi="Times New Roman"/>
          <w:sz w:val="20"/>
        </w:rPr>
        <w:t>.</w:t>
      </w:r>
      <w:r w:rsidRPr="002F700A">
        <w:rPr>
          <w:rFonts w:ascii="Times New Roman" w:hAnsi="Times New Roman"/>
          <w:sz w:val="20"/>
        </w:rPr>
        <w:t xml:space="preserve"> A discriminação por ocupação profissional só surge a partir de 1890 (Ver Ravara 1988 e Serrão 1973).</w:t>
      </w:r>
    </w:p>
  </w:footnote>
  <w:footnote w:id="26">
    <w:p w14:paraId="51CA08B2" w14:textId="77777777" w:rsidR="00A3407E" w:rsidRPr="002F700A" w:rsidRDefault="00A3407E" w:rsidP="00A3407E">
      <w:pPr>
        <w:pStyle w:val="FootnoteText"/>
        <w:spacing w:line="276" w:lineRule="auto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Ver Cruz (1970) e Amado Mendes (1980), respetivamente. </w:t>
      </w:r>
    </w:p>
  </w:footnote>
  <w:footnote w:id="27">
    <w:p w14:paraId="4EBC7180" w14:textId="77777777" w:rsidR="00A3407E" w:rsidRPr="002F700A" w:rsidRDefault="00A3407E" w:rsidP="00A3407E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Embora esse levantamento estimasse a população ativa em apenas 27% da população da região devido às limitações da metodologia utilizada.</w:t>
      </w:r>
    </w:p>
  </w:footnote>
  <w:footnote w:id="28">
    <w:p w14:paraId="2E5B175D" w14:textId="335E1AD6" w:rsidR="00A3407E" w:rsidRPr="002F700A" w:rsidRDefault="00A3407E" w:rsidP="00A3407E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Para a Alemanha Pfister (2022, 1079) refere-se especificamente à fração não agrícola da </w:t>
      </w:r>
      <w:r w:rsidR="009F524C">
        <w:rPr>
          <w:rFonts w:ascii="Times New Roman" w:hAnsi="Times New Roman"/>
          <w:sz w:val="20"/>
        </w:rPr>
        <w:t xml:space="preserve">população </w:t>
      </w:r>
      <w:r w:rsidRPr="002F700A">
        <w:rPr>
          <w:rFonts w:ascii="Times New Roman" w:hAnsi="Times New Roman"/>
          <w:sz w:val="20"/>
        </w:rPr>
        <w:t xml:space="preserve">rural. Para Inglaterra, Floud </w:t>
      </w:r>
      <w:r w:rsidRPr="002F700A">
        <w:rPr>
          <w:rFonts w:ascii="Times New Roman" w:hAnsi="Times New Roman"/>
          <w:i/>
          <w:iCs/>
          <w:sz w:val="20"/>
        </w:rPr>
        <w:t>et al</w:t>
      </w:r>
      <w:r w:rsidRPr="002F700A">
        <w:rPr>
          <w:rFonts w:ascii="Times New Roman" w:hAnsi="Times New Roman"/>
          <w:sz w:val="20"/>
        </w:rPr>
        <w:t xml:space="preserve">. (2014, 59) referem-se ao setor secundário. </w:t>
      </w:r>
    </w:p>
  </w:footnote>
  <w:footnote w:id="29">
    <w:p w14:paraId="779C18C8" w14:textId="4B602E16" w:rsidR="00A3407E" w:rsidRPr="002F700A" w:rsidRDefault="00A3407E" w:rsidP="00A3407E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</w:t>
      </w:r>
      <w:r w:rsidR="00B12563">
        <w:rPr>
          <w:rFonts w:ascii="Times New Roman" w:hAnsi="Times New Roman"/>
          <w:sz w:val="20"/>
        </w:rPr>
        <w:t>Até 1650, as e</w:t>
      </w:r>
      <w:r w:rsidRPr="002F700A">
        <w:rPr>
          <w:rFonts w:ascii="Times New Roman" w:hAnsi="Times New Roman"/>
          <w:sz w:val="20"/>
        </w:rPr>
        <w:t xml:space="preserve">stimativas </w:t>
      </w:r>
      <w:r w:rsidR="00B12563">
        <w:rPr>
          <w:rFonts w:ascii="Times New Roman" w:hAnsi="Times New Roman"/>
          <w:sz w:val="20"/>
        </w:rPr>
        <w:t xml:space="preserve">são </w:t>
      </w:r>
      <w:r w:rsidRPr="002F700A">
        <w:rPr>
          <w:rFonts w:ascii="Times New Roman" w:hAnsi="Times New Roman"/>
          <w:sz w:val="20"/>
        </w:rPr>
        <w:t xml:space="preserve">baseadas </w:t>
      </w:r>
      <w:r>
        <w:rPr>
          <w:rFonts w:ascii="Times New Roman" w:hAnsi="Times New Roman"/>
          <w:sz w:val="20"/>
        </w:rPr>
        <w:t xml:space="preserve">em </w:t>
      </w:r>
      <w:r w:rsidRPr="002F700A">
        <w:rPr>
          <w:rFonts w:ascii="Times New Roman" w:hAnsi="Times New Roman"/>
          <w:sz w:val="20"/>
        </w:rPr>
        <w:t>A. Nogal &amp; P. Escosura (2007).</w:t>
      </w:r>
    </w:p>
  </w:footnote>
  <w:footnote w:id="30">
    <w:p w14:paraId="3A6FB43B" w14:textId="7A990EE6" w:rsidR="00A3407E" w:rsidRPr="00E47569" w:rsidRDefault="00A3407E" w:rsidP="00B12563">
      <w:pPr>
        <w:pStyle w:val="FootnoteText"/>
        <w:spacing w:line="276" w:lineRule="auto"/>
        <w:ind w:left="142" w:hanging="142"/>
        <w:rPr>
          <w:rFonts w:ascii="Arial Nova" w:hAnsi="Arial Nova"/>
          <w:sz w:val="17"/>
          <w:szCs w:val="17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</w:t>
      </w:r>
      <w:r w:rsidR="00B12563">
        <w:rPr>
          <w:rFonts w:ascii="Times New Roman" w:hAnsi="Times New Roman"/>
          <w:sz w:val="20"/>
        </w:rPr>
        <w:t>E</w:t>
      </w:r>
      <w:r w:rsidR="00B12563" w:rsidRPr="00B12563">
        <w:rPr>
          <w:rFonts w:ascii="Times New Roman" w:hAnsi="Times New Roman"/>
          <w:sz w:val="20"/>
        </w:rPr>
        <w:t xml:space="preserve">mbora </w:t>
      </w:r>
      <w:r w:rsidR="00B12563">
        <w:rPr>
          <w:rFonts w:ascii="Times New Roman" w:hAnsi="Times New Roman"/>
          <w:sz w:val="20"/>
        </w:rPr>
        <w:t xml:space="preserve">com reduzida </w:t>
      </w:r>
      <w:r w:rsidR="00B12563" w:rsidRPr="00B12563">
        <w:rPr>
          <w:rFonts w:ascii="Times New Roman" w:hAnsi="Times New Roman"/>
          <w:sz w:val="20"/>
        </w:rPr>
        <w:t xml:space="preserve">representatividade nacional </w:t>
      </w:r>
      <w:r w:rsidRPr="002F700A">
        <w:rPr>
          <w:rFonts w:ascii="Times New Roman" w:hAnsi="Times New Roman"/>
          <w:sz w:val="20"/>
        </w:rPr>
        <w:t>É baseado em três localidades do Sul do país (Palma &amp; Reis 2019, 484</w:t>
      </w:r>
      <w:r>
        <w:rPr>
          <w:rFonts w:ascii="Times New Roman" w:hAnsi="Times New Roman"/>
          <w:sz w:val="20"/>
        </w:rPr>
        <w:t xml:space="preserve"> e</w:t>
      </w:r>
      <w:r w:rsidRPr="002F700A">
        <w:rPr>
          <w:rFonts w:ascii="Times New Roman" w:hAnsi="Times New Roman"/>
          <w:sz w:val="20"/>
        </w:rPr>
        <w:t xml:space="preserve"> nota 15).</w:t>
      </w:r>
    </w:p>
  </w:footnote>
  <w:footnote w:id="31">
    <w:p w14:paraId="6A6213C6" w14:textId="77777777" w:rsidR="00A3407E" w:rsidRPr="007C37D7" w:rsidRDefault="00A3407E" w:rsidP="00A3407E">
      <w:pPr>
        <w:pStyle w:val="FootnoteText"/>
        <w:spacing w:line="276" w:lineRule="auto"/>
        <w:rPr>
          <w:rFonts w:ascii="Times New Roman" w:hAnsi="Times New Roman"/>
          <w:sz w:val="20"/>
        </w:rPr>
      </w:pPr>
      <w:r w:rsidRPr="007C37D7">
        <w:rPr>
          <w:rStyle w:val="FootnoteReference"/>
          <w:rFonts w:ascii="Times New Roman" w:hAnsi="Times New Roman"/>
          <w:sz w:val="20"/>
        </w:rPr>
        <w:footnoteRef/>
      </w:r>
      <w:r w:rsidRPr="007C37D7">
        <w:rPr>
          <w:rFonts w:ascii="Times New Roman" w:hAnsi="Times New Roman"/>
          <w:sz w:val="20"/>
        </w:rPr>
        <w:t xml:space="preserve"> Embora o autor saliente a reduzida fidedignidade dos dados até 1862 (Reis 2005, 121).</w:t>
      </w:r>
    </w:p>
  </w:footnote>
  <w:footnote w:id="32">
    <w:p w14:paraId="4F9D72B0" w14:textId="77777777" w:rsidR="00A3407E" w:rsidRPr="002F700A" w:rsidRDefault="00A3407E" w:rsidP="00A3407E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2F700A">
        <w:rPr>
          <w:rStyle w:val="FootnoteReference"/>
          <w:rFonts w:ascii="Times New Roman" w:hAnsi="Times New Roman"/>
          <w:sz w:val="20"/>
        </w:rPr>
        <w:footnoteRef/>
      </w:r>
      <w:r w:rsidRPr="002F700A">
        <w:rPr>
          <w:rFonts w:ascii="Times New Roman" w:hAnsi="Times New Roman"/>
          <w:sz w:val="20"/>
        </w:rPr>
        <w:t xml:space="preserve"> O setor dos serviços caiu de 33% da população ativa em 1806, para 17% em 1841.</w:t>
      </w:r>
    </w:p>
  </w:footnote>
  <w:footnote w:id="33">
    <w:p w14:paraId="6645A905" w14:textId="77777777" w:rsidR="00A3407E" w:rsidRPr="00FF1508" w:rsidRDefault="00A3407E" w:rsidP="00A3407E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FF1508">
        <w:rPr>
          <w:rStyle w:val="FootnoteReference"/>
          <w:rFonts w:ascii="Times New Roman" w:hAnsi="Times New Roman"/>
          <w:sz w:val="20"/>
        </w:rPr>
        <w:footnoteRef/>
      </w:r>
      <w:r w:rsidRPr="00FF1508">
        <w:rPr>
          <w:rFonts w:ascii="Times New Roman" w:hAnsi="Times New Roman"/>
          <w:sz w:val="20"/>
        </w:rPr>
        <w:t xml:space="preserve"> Apesar de parte desta participação laboral se referir a manufaturas situadas nos meios urbanos.</w:t>
      </w:r>
    </w:p>
  </w:footnote>
  <w:footnote w:id="34">
    <w:p w14:paraId="197211EA" w14:textId="013E0872" w:rsidR="00A3407E" w:rsidRPr="00FF1508" w:rsidRDefault="00A3407E" w:rsidP="00A3407E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FF1508">
        <w:rPr>
          <w:rStyle w:val="FootnoteReference"/>
          <w:rFonts w:ascii="Times New Roman" w:hAnsi="Times New Roman"/>
          <w:sz w:val="20"/>
        </w:rPr>
        <w:footnoteRef/>
      </w:r>
      <w:r w:rsidRPr="00FF1508">
        <w:rPr>
          <w:rFonts w:ascii="Times New Roman" w:hAnsi="Times New Roman"/>
          <w:sz w:val="20"/>
        </w:rPr>
        <w:t xml:space="preserve"> Os dados referem-se a Oeiras, Coruche e Salvaterra de Magos, localidades com </w:t>
      </w:r>
      <w:r w:rsidR="00B12563">
        <w:rPr>
          <w:rFonts w:ascii="Times New Roman" w:hAnsi="Times New Roman"/>
          <w:sz w:val="20"/>
        </w:rPr>
        <w:t xml:space="preserve">pop. </w:t>
      </w:r>
      <w:r w:rsidRPr="00FF1508">
        <w:rPr>
          <w:rFonts w:ascii="Times New Roman" w:hAnsi="Times New Roman"/>
          <w:sz w:val="20"/>
        </w:rPr>
        <w:t>&lt;</w:t>
      </w:r>
      <w:r w:rsidR="00B12563">
        <w:rPr>
          <w:rFonts w:ascii="Times New Roman" w:hAnsi="Times New Roman"/>
          <w:sz w:val="20"/>
        </w:rPr>
        <w:t>5,0 mil</w:t>
      </w:r>
      <w:r w:rsidRPr="00FF1508">
        <w:rPr>
          <w:rFonts w:ascii="Times New Roman" w:hAnsi="Times New Roman"/>
          <w:sz w:val="20"/>
        </w:rPr>
        <w:t xml:space="preserve"> hab, portanto incluídas na categoria RNAG.</w:t>
      </w:r>
    </w:p>
  </w:footnote>
  <w:footnote w:id="35">
    <w:p w14:paraId="48260377" w14:textId="170CC448" w:rsidR="00A3407E" w:rsidRPr="00917C3E" w:rsidRDefault="00A3407E" w:rsidP="00A3407E">
      <w:pPr>
        <w:pStyle w:val="FootnoteText"/>
        <w:spacing w:line="276" w:lineRule="auto"/>
        <w:ind w:left="142" w:hanging="142"/>
        <w:rPr>
          <w:sz w:val="17"/>
          <w:szCs w:val="17"/>
        </w:rPr>
      </w:pPr>
      <w:r w:rsidRPr="00FF1508">
        <w:rPr>
          <w:rStyle w:val="FootnoteReference"/>
          <w:rFonts w:ascii="Times New Roman" w:hAnsi="Times New Roman"/>
          <w:sz w:val="20"/>
        </w:rPr>
        <w:footnoteRef/>
      </w:r>
      <w:r w:rsidRPr="00FF1508">
        <w:rPr>
          <w:rFonts w:ascii="Times New Roman" w:hAnsi="Times New Roman"/>
          <w:sz w:val="20"/>
        </w:rPr>
        <w:t xml:space="preserve"> Para uma visão mais geral da prevalência da participação feminina no mercado de trabalho, ver Humphries &amp; Sarasúa (2012)</w:t>
      </w:r>
    </w:p>
  </w:footnote>
  <w:footnote w:id="36">
    <w:p w14:paraId="7BDB514D" w14:textId="588DC330" w:rsidR="00AC5E9A" w:rsidRPr="00FF1508" w:rsidRDefault="00AC5E9A" w:rsidP="00AC5E9A">
      <w:pPr>
        <w:pStyle w:val="FootnoteText"/>
        <w:spacing w:line="276" w:lineRule="auto"/>
        <w:rPr>
          <w:rFonts w:ascii="Times New Roman" w:hAnsi="Times New Roman"/>
          <w:sz w:val="20"/>
        </w:rPr>
      </w:pPr>
      <w:r w:rsidRPr="00FF1508">
        <w:rPr>
          <w:rStyle w:val="FootnoteReference"/>
          <w:rFonts w:ascii="Times New Roman" w:hAnsi="Times New Roman"/>
          <w:sz w:val="20"/>
        </w:rPr>
        <w:footnoteRef/>
      </w:r>
      <w:r w:rsidRPr="00FF1508">
        <w:rPr>
          <w:rFonts w:ascii="Times New Roman" w:hAnsi="Times New Roman"/>
          <w:sz w:val="20"/>
        </w:rPr>
        <w:t xml:space="preserve"> Premissa que, como se concluiu, não </w:t>
      </w:r>
      <w:r w:rsidR="008C5318">
        <w:rPr>
          <w:rFonts w:ascii="Times New Roman" w:hAnsi="Times New Roman"/>
          <w:sz w:val="20"/>
        </w:rPr>
        <w:t xml:space="preserve">foi necessariamente </w:t>
      </w:r>
      <w:r w:rsidRPr="00FF1508">
        <w:rPr>
          <w:rFonts w:ascii="Times New Roman" w:hAnsi="Times New Roman"/>
          <w:sz w:val="20"/>
        </w:rPr>
        <w:t xml:space="preserve">seguida por Palma &amp; Reis (2019). </w:t>
      </w:r>
    </w:p>
  </w:footnote>
  <w:footnote w:id="37">
    <w:p w14:paraId="22697CCB" w14:textId="77777777" w:rsidR="008A2551" w:rsidRPr="00FF1508" w:rsidRDefault="008A2551" w:rsidP="00FF1508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FF1508">
        <w:rPr>
          <w:rStyle w:val="FootnoteReference"/>
          <w:rFonts w:ascii="Times New Roman" w:hAnsi="Times New Roman"/>
          <w:sz w:val="20"/>
        </w:rPr>
        <w:footnoteRef/>
      </w:r>
      <w:r w:rsidRPr="00FF1508">
        <w:rPr>
          <w:rFonts w:ascii="Times New Roman" w:hAnsi="Times New Roman"/>
          <w:sz w:val="20"/>
        </w:rPr>
        <w:t xml:space="preserve"> Sem considerar as reexportações de produtos brasileiros para a Europa. O peso ‘brasileiro’ das relações comerciais portuguesas no PIB é averiguado na parte final desta secção. </w:t>
      </w:r>
    </w:p>
  </w:footnote>
  <w:footnote w:id="38">
    <w:p w14:paraId="64113077" w14:textId="055BB3CF" w:rsidR="00BA7383" w:rsidRPr="00EF11E1" w:rsidRDefault="00BA7383" w:rsidP="0084245A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EF11E1">
        <w:rPr>
          <w:rStyle w:val="FootnoteReference"/>
          <w:rFonts w:ascii="Times New Roman" w:hAnsi="Times New Roman"/>
          <w:sz w:val="20"/>
        </w:rPr>
        <w:footnoteRef/>
      </w:r>
      <w:r w:rsidRPr="00EF11E1">
        <w:rPr>
          <w:rFonts w:ascii="Times New Roman" w:hAnsi="Times New Roman"/>
          <w:sz w:val="20"/>
        </w:rPr>
        <w:t xml:space="preserve"> A estimativa inferior refere-se ao censo de 1801, cit. por </w:t>
      </w:r>
      <w:r w:rsidR="002036CF" w:rsidRPr="00EF11E1">
        <w:rPr>
          <w:rFonts w:ascii="Times New Roman" w:hAnsi="Times New Roman"/>
          <w:sz w:val="20"/>
        </w:rPr>
        <w:t xml:space="preserve">Rodrigues </w:t>
      </w:r>
      <w:r w:rsidRPr="00EF11E1">
        <w:rPr>
          <w:rFonts w:ascii="Times New Roman" w:hAnsi="Times New Roman"/>
          <w:sz w:val="20"/>
        </w:rPr>
        <w:t>(1997</w:t>
      </w:r>
      <w:r w:rsidR="008660B8" w:rsidRPr="00EF11E1">
        <w:rPr>
          <w:rFonts w:ascii="Times New Roman" w:hAnsi="Times New Roman"/>
          <w:sz w:val="20"/>
        </w:rPr>
        <w:t>, 216</w:t>
      </w:r>
      <w:r w:rsidRPr="00EF11E1">
        <w:rPr>
          <w:rFonts w:ascii="Times New Roman" w:hAnsi="Times New Roman"/>
          <w:sz w:val="20"/>
        </w:rPr>
        <w:t>)</w:t>
      </w:r>
      <w:r w:rsidR="008660B8" w:rsidRPr="00EF11E1">
        <w:rPr>
          <w:rFonts w:ascii="Times New Roman" w:hAnsi="Times New Roman"/>
          <w:sz w:val="20"/>
        </w:rPr>
        <w:t xml:space="preserve"> e</w:t>
      </w:r>
      <w:r w:rsidRPr="00EF11E1">
        <w:rPr>
          <w:rFonts w:ascii="Times New Roman" w:hAnsi="Times New Roman"/>
          <w:sz w:val="20"/>
        </w:rPr>
        <w:t xml:space="preserve"> a estimativa superior refere-se a </w:t>
      </w:r>
      <w:r w:rsidR="002036CF" w:rsidRPr="00EF11E1">
        <w:rPr>
          <w:rFonts w:ascii="Times New Roman" w:hAnsi="Times New Roman"/>
          <w:sz w:val="20"/>
        </w:rPr>
        <w:t xml:space="preserve">Araújo </w:t>
      </w:r>
      <w:r w:rsidRPr="00EF11E1">
        <w:rPr>
          <w:rFonts w:ascii="Times New Roman" w:hAnsi="Times New Roman"/>
          <w:sz w:val="20"/>
        </w:rPr>
        <w:t>(1995</w:t>
      </w:r>
      <w:r w:rsidR="008660B8" w:rsidRPr="00EF11E1">
        <w:rPr>
          <w:rFonts w:ascii="Times New Roman" w:hAnsi="Times New Roman"/>
          <w:sz w:val="20"/>
        </w:rPr>
        <w:t>, 40</w:t>
      </w:r>
      <w:r w:rsidRPr="00EF11E1">
        <w:rPr>
          <w:rFonts w:ascii="Times New Roman" w:hAnsi="Times New Roman"/>
          <w:sz w:val="20"/>
        </w:rPr>
        <w:t>).</w:t>
      </w:r>
    </w:p>
  </w:footnote>
  <w:footnote w:id="39">
    <w:p w14:paraId="027D3015" w14:textId="2B1AE054" w:rsidR="00BA7383" w:rsidRPr="00EF11E1" w:rsidRDefault="00BA7383" w:rsidP="0084245A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  <w:highlight w:val="green"/>
        </w:rPr>
      </w:pPr>
      <w:r w:rsidRPr="00EF11E1">
        <w:rPr>
          <w:rStyle w:val="FootnoteReference"/>
          <w:rFonts w:ascii="Times New Roman" w:hAnsi="Times New Roman"/>
          <w:sz w:val="20"/>
        </w:rPr>
        <w:footnoteRef/>
      </w:r>
      <w:r w:rsidRPr="00EF11E1">
        <w:rPr>
          <w:rFonts w:ascii="Times New Roman" w:hAnsi="Times New Roman"/>
          <w:sz w:val="20"/>
        </w:rPr>
        <w:t xml:space="preserve"> J</w:t>
      </w:r>
      <w:r w:rsidR="009B57A5" w:rsidRPr="00EF11E1">
        <w:rPr>
          <w:rFonts w:ascii="Times New Roman" w:hAnsi="Times New Roman"/>
          <w:sz w:val="20"/>
        </w:rPr>
        <w:t>orge</w:t>
      </w:r>
      <w:r w:rsidRPr="00EF11E1">
        <w:rPr>
          <w:rFonts w:ascii="Times New Roman" w:hAnsi="Times New Roman"/>
          <w:sz w:val="20"/>
        </w:rPr>
        <w:t xml:space="preserve"> (1898</w:t>
      </w:r>
      <w:r w:rsidR="008660B8" w:rsidRPr="00EF11E1">
        <w:rPr>
          <w:rFonts w:ascii="Times New Roman" w:hAnsi="Times New Roman"/>
          <w:sz w:val="20"/>
        </w:rPr>
        <w:t>, 116</w:t>
      </w:r>
      <w:r w:rsidRPr="00EF11E1">
        <w:rPr>
          <w:rFonts w:ascii="Times New Roman" w:hAnsi="Times New Roman"/>
          <w:sz w:val="20"/>
        </w:rPr>
        <w:t>)</w:t>
      </w:r>
      <w:r w:rsidR="008660B8" w:rsidRPr="00EF11E1">
        <w:rPr>
          <w:rFonts w:ascii="Times New Roman" w:hAnsi="Times New Roman"/>
          <w:sz w:val="20"/>
        </w:rPr>
        <w:t>.</w:t>
      </w:r>
      <w:r w:rsidRPr="00EF11E1">
        <w:rPr>
          <w:rFonts w:ascii="Times New Roman" w:hAnsi="Times New Roman"/>
          <w:sz w:val="20"/>
        </w:rPr>
        <w:t xml:space="preserve"> Sabe-se</w:t>
      </w:r>
      <w:r w:rsidR="008660B8" w:rsidRPr="00EF11E1">
        <w:rPr>
          <w:rFonts w:ascii="Times New Roman" w:hAnsi="Times New Roman"/>
          <w:sz w:val="20"/>
        </w:rPr>
        <w:t>,</w:t>
      </w:r>
      <w:r w:rsidRPr="00EF11E1">
        <w:rPr>
          <w:rFonts w:ascii="Times New Roman" w:hAnsi="Times New Roman"/>
          <w:sz w:val="20"/>
        </w:rPr>
        <w:t xml:space="preserve"> pela mesma fonte, que a população em 1819 praticamente não se havia alterado</w:t>
      </w:r>
      <w:r w:rsidR="009456B6">
        <w:rPr>
          <w:rFonts w:ascii="Times New Roman" w:hAnsi="Times New Roman"/>
          <w:sz w:val="20"/>
        </w:rPr>
        <w:t xml:space="preserve"> e situava-se em </w:t>
      </w:r>
      <w:r w:rsidRPr="00EF11E1">
        <w:rPr>
          <w:rFonts w:ascii="Times New Roman" w:hAnsi="Times New Roman"/>
          <w:sz w:val="20"/>
        </w:rPr>
        <w:t>cerca de 45 mil habitantes.</w:t>
      </w:r>
    </w:p>
  </w:footnote>
  <w:footnote w:id="40">
    <w:p w14:paraId="5C6642F6" w14:textId="09984479" w:rsidR="007817F5" w:rsidRPr="00BF189B" w:rsidRDefault="007817F5" w:rsidP="00BF189B">
      <w:pPr>
        <w:pStyle w:val="FootnoteText"/>
        <w:spacing w:line="276" w:lineRule="auto"/>
        <w:ind w:left="142" w:hanging="142"/>
        <w:rPr>
          <w:rFonts w:ascii="Times New Roman" w:hAnsi="Times New Roman"/>
          <w:sz w:val="20"/>
        </w:rPr>
      </w:pPr>
      <w:r w:rsidRPr="00BF189B">
        <w:rPr>
          <w:rStyle w:val="FootnoteReference"/>
          <w:rFonts w:ascii="Times New Roman" w:hAnsi="Times New Roman"/>
          <w:sz w:val="20"/>
        </w:rPr>
        <w:footnoteRef/>
      </w:r>
      <w:r w:rsidRPr="00BF189B">
        <w:rPr>
          <w:rFonts w:ascii="Times New Roman" w:hAnsi="Times New Roman"/>
          <w:sz w:val="20"/>
        </w:rPr>
        <w:t xml:space="preserve"> Note-se que os dados para o Algarve só estão disponíveis a partir de 1766, pelo que a sua contribuição foi estimada por diferença com o total. O mesmo sucede com a população de Trás-os-Montes a partir de 1801.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71ED" w14:textId="77777777" w:rsidR="004F299C" w:rsidRDefault="00000000">
    <w:pPr>
      <w:pStyle w:val="Header"/>
    </w:pPr>
    <w:r>
      <w:rPr>
        <w:noProof/>
      </w:rPr>
      <w:object w:dxaOrig="1440" w:dyaOrig="1440" w14:anchorId="5ED49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572.1pt;margin-top:.4pt;width:71.7pt;height:30.6pt;z-index:251657728;mso-wrap-distance-left:9.05pt" fillcolor="window"/>
        <o:OLEObject Type="Embed" ProgID="Word.Picture.8" ShapeID="_x0000_s1026" DrawAspect="Content" ObjectID="_1748858723" r:id="rId1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CBC"/>
    <w:multiLevelType w:val="multilevel"/>
    <w:tmpl w:val="900A6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B7BD5"/>
    <w:multiLevelType w:val="multilevel"/>
    <w:tmpl w:val="82D0E4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8"/>
        </w:tabs>
        <w:ind w:left="9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396442"/>
    <w:multiLevelType w:val="hybridMultilevel"/>
    <w:tmpl w:val="E71A883C"/>
    <w:lvl w:ilvl="0" w:tplc="2C868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37A7B"/>
    <w:multiLevelType w:val="multilevel"/>
    <w:tmpl w:val="08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BDB47E1"/>
    <w:multiLevelType w:val="hybridMultilevel"/>
    <w:tmpl w:val="36B66D8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4F3554"/>
    <w:multiLevelType w:val="multilevel"/>
    <w:tmpl w:val="5D0C2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D737915"/>
    <w:multiLevelType w:val="hybridMultilevel"/>
    <w:tmpl w:val="0AC6D2E0"/>
    <w:lvl w:ilvl="0" w:tplc="7C3473F6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085B61"/>
    <w:multiLevelType w:val="multilevel"/>
    <w:tmpl w:val="5BA8C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7B21538"/>
    <w:multiLevelType w:val="multilevel"/>
    <w:tmpl w:val="5D0C2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292247E9"/>
    <w:multiLevelType w:val="hybridMultilevel"/>
    <w:tmpl w:val="E4FC13A2"/>
    <w:lvl w:ilvl="0" w:tplc="C138FC56">
      <w:start w:val="1"/>
      <w:numFmt w:val="bullet"/>
      <w:lvlText w:val="–"/>
      <w:lvlJc w:val="left"/>
      <w:pPr>
        <w:ind w:left="720" w:hanging="360"/>
      </w:pPr>
      <w:rPr>
        <w:rFonts w:ascii="Arial Nova Light" w:hAnsi="Arial Nova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05B64"/>
    <w:multiLevelType w:val="multilevel"/>
    <w:tmpl w:val="5D0C2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A234537"/>
    <w:multiLevelType w:val="multilevel"/>
    <w:tmpl w:val="5D0C2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22036C0"/>
    <w:multiLevelType w:val="hybridMultilevel"/>
    <w:tmpl w:val="66B231C4"/>
    <w:lvl w:ilvl="0" w:tplc="2C868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C10BC2"/>
    <w:multiLevelType w:val="hybridMultilevel"/>
    <w:tmpl w:val="9BD6FD96"/>
    <w:lvl w:ilvl="0" w:tplc="C138FC56">
      <w:start w:val="1"/>
      <w:numFmt w:val="bullet"/>
      <w:lvlText w:val="–"/>
      <w:lvlJc w:val="left"/>
      <w:pPr>
        <w:ind w:left="862" w:hanging="360"/>
      </w:pPr>
      <w:rPr>
        <w:rFonts w:ascii="Arial Nova Light" w:hAnsi="Arial Nova Light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5647928"/>
    <w:multiLevelType w:val="multilevel"/>
    <w:tmpl w:val="5D0C2C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95F2FBF"/>
    <w:multiLevelType w:val="hybridMultilevel"/>
    <w:tmpl w:val="BD145AEC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963374A"/>
    <w:multiLevelType w:val="hybridMultilevel"/>
    <w:tmpl w:val="31C4976C"/>
    <w:lvl w:ilvl="0" w:tplc="941C9A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7D40"/>
    <w:multiLevelType w:val="multilevel"/>
    <w:tmpl w:val="5D0C2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3B3803C4"/>
    <w:multiLevelType w:val="multilevel"/>
    <w:tmpl w:val="5BA8C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40C21770"/>
    <w:multiLevelType w:val="hybridMultilevel"/>
    <w:tmpl w:val="CDB2BA14"/>
    <w:lvl w:ilvl="0" w:tplc="C138FC56">
      <w:start w:val="1"/>
      <w:numFmt w:val="bullet"/>
      <w:lvlText w:val="–"/>
      <w:lvlJc w:val="left"/>
      <w:pPr>
        <w:ind w:left="862" w:hanging="360"/>
      </w:pPr>
      <w:rPr>
        <w:rFonts w:ascii="Arial Nova Light" w:hAnsi="Arial Nova Light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7D46154"/>
    <w:multiLevelType w:val="multilevel"/>
    <w:tmpl w:val="2C621D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4D7C5532"/>
    <w:multiLevelType w:val="hybridMultilevel"/>
    <w:tmpl w:val="ABC0642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7842101"/>
    <w:multiLevelType w:val="hybridMultilevel"/>
    <w:tmpl w:val="A7CA8B5E"/>
    <w:lvl w:ilvl="0" w:tplc="2E6C5CE0">
      <w:start w:val="1"/>
      <w:numFmt w:val="bullet"/>
      <w:lvlText w:val="–"/>
      <w:lvlJc w:val="left"/>
      <w:pPr>
        <w:ind w:left="720" w:hanging="360"/>
      </w:pPr>
      <w:rPr>
        <w:rFonts w:ascii="Arial Nova Light" w:hAnsi="Arial Nova Light" w:hint="default"/>
        <w:lang w:val="pt-P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91EE5"/>
    <w:multiLevelType w:val="multilevel"/>
    <w:tmpl w:val="EEFA9828"/>
    <w:styleLink w:val="StyleBulleted"/>
    <w:lvl w:ilvl="0">
      <w:start w:val="1"/>
      <w:numFmt w:val="bullet"/>
      <w:lvlText w:val="–"/>
      <w:lvlJc w:val="left"/>
      <w:pPr>
        <w:tabs>
          <w:tab w:val="num" w:pos="1440"/>
        </w:tabs>
        <w:ind w:left="360" w:hanging="360"/>
      </w:pPr>
      <w:rPr>
        <w:rFonts w:ascii="Bookman Old Style" w:hAnsi="Bookman Old Style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E5B75"/>
    <w:multiLevelType w:val="multilevel"/>
    <w:tmpl w:val="5D0C2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75DB1750"/>
    <w:multiLevelType w:val="hybridMultilevel"/>
    <w:tmpl w:val="04E2BDB4"/>
    <w:lvl w:ilvl="0" w:tplc="FDA4280E">
      <w:start w:val="1"/>
      <w:numFmt w:val="decimal"/>
      <w:pStyle w:val="Heading2"/>
      <w:lvlText w:val="%1. 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F02F2"/>
    <w:multiLevelType w:val="hybridMultilevel"/>
    <w:tmpl w:val="74FC50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AC7AB4"/>
    <w:multiLevelType w:val="hybridMultilevel"/>
    <w:tmpl w:val="51524402"/>
    <w:lvl w:ilvl="0" w:tplc="C138FC56">
      <w:start w:val="1"/>
      <w:numFmt w:val="bullet"/>
      <w:lvlText w:val="–"/>
      <w:lvlJc w:val="left"/>
      <w:pPr>
        <w:ind w:left="862" w:hanging="360"/>
      </w:pPr>
      <w:rPr>
        <w:rFonts w:ascii="Arial Nova Light" w:hAnsi="Arial Nova Light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45264217">
    <w:abstractNumId w:val="3"/>
  </w:num>
  <w:num w:numId="2" w16cid:durableId="653069638">
    <w:abstractNumId w:val="1"/>
  </w:num>
  <w:num w:numId="3" w16cid:durableId="639925112">
    <w:abstractNumId w:val="23"/>
  </w:num>
  <w:num w:numId="4" w16cid:durableId="586964730">
    <w:abstractNumId w:val="0"/>
  </w:num>
  <w:num w:numId="5" w16cid:durableId="1879778170">
    <w:abstractNumId w:val="12"/>
  </w:num>
  <w:num w:numId="6" w16cid:durableId="1361667231">
    <w:abstractNumId w:val="2"/>
  </w:num>
  <w:num w:numId="7" w16cid:durableId="1150096734">
    <w:abstractNumId w:val="19"/>
  </w:num>
  <w:num w:numId="8" w16cid:durableId="847526709">
    <w:abstractNumId w:val="22"/>
  </w:num>
  <w:num w:numId="9" w16cid:durableId="1117530017">
    <w:abstractNumId w:val="27"/>
  </w:num>
  <w:num w:numId="10" w16cid:durableId="1999192342">
    <w:abstractNumId w:val="4"/>
  </w:num>
  <w:num w:numId="11" w16cid:durableId="1578398655">
    <w:abstractNumId w:val="13"/>
  </w:num>
  <w:num w:numId="12" w16cid:durableId="2071154597">
    <w:abstractNumId w:val="9"/>
  </w:num>
  <w:num w:numId="13" w16cid:durableId="634214460">
    <w:abstractNumId w:val="15"/>
  </w:num>
  <w:num w:numId="14" w16cid:durableId="1533223989">
    <w:abstractNumId w:val="16"/>
  </w:num>
  <w:num w:numId="15" w16cid:durableId="784887528">
    <w:abstractNumId w:val="16"/>
    <w:lvlOverride w:ilvl="0">
      <w:startOverride w:val="1"/>
    </w:lvlOverride>
  </w:num>
  <w:num w:numId="16" w16cid:durableId="1351029761">
    <w:abstractNumId w:val="6"/>
  </w:num>
  <w:num w:numId="17" w16cid:durableId="1503617103">
    <w:abstractNumId w:val="6"/>
    <w:lvlOverride w:ilvl="0">
      <w:startOverride w:val="1"/>
    </w:lvlOverride>
  </w:num>
  <w:num w:numId="18" w16cid:durableId="775448481">
    <w:abstractNumId w:val="6"/>
    <w:lvlOverride w:ilvl="0">
      <w:startOverride w:val="1"/>
    </w:lvlOverride>
  </w:num>
  <w:num w:numId="19" w16cid:durableId="1564024063">
    <w:abstractNumId w:val="6"/>
    <w:lvlOverride w:ilvl="0">
      <w:startOverride w:val="1"/>
    </w:lvlOverride>
  </w:num>
  <w:num w:numId="20" w16cid:durableId="412439749">
    <w:abstractNumId w:val="6"/>
    <w:lvlOverride w:ilvl="0">
      <w:startOverride w:val="1"/>
    </w:lvlOverride>
  </w:num>
  <w:num w:numId="21" w16cid:durableId="1882132236">
    <w:abstractNumId w:val="6"/>
    <w:lvlOverride w:ilvl="0">
      <w:startOverride w:val="1"/>
    </w:lvlOverride>
  </w:num>
  <w:num w:numId="22" w16cid:durableId="1485202759">
    <w:abstractNumId w:val="18"/>
  </w:num>
  <w:num w:numId="23" w16cid:durableId="1268730844">
    <w:abstractNumId w:val="6"/>
    <w:lvlOverride w:ilvl="0">
      <w:startOverride w:val="1"/>
    </w:lvlOverride>
  </w:num>
  <w:num w:numId="24" w16cid:durableId="630675718">
    <w:abstractNumId w:val="21"/>
  </w:num>
  <w:num w:numId="25" w16cid:durableId="42680480">
    <w:abstractNumId w:val="25"/>
  </w:num>
  <w:num w:numId="26" w16cid:durableId="736517170">
    <w:abstractNumId w:val="10"/>
  </w:num>
  <w:num w:numId="27" w16cid:durableId="1581402449">
    <w:abstractNumId w:val="6"/>
    <w:lvlOverride w:ilvl="0">
      <w:startOverride w:val="1"/>
    </w:lvlOverride>
  </w:num>
  <w:num w:numId="28" w16cid:durableId="1816339172">
    <w:abstractNumId w:val="7"/>
  </w:num>
  <w:num w:numId="29" w16cid:durableId="108816146">
    <w:abstractNumId w:val="5"/>
  </w:num>
  <w:num w:numId="30" w16cid:durableId="236524728">
    <w:abstractNumId w:val="11"/>
  </w:num>
  <w:num w:numId="31" w16cid:durableId="1013993898">
    <w:abstractNumId w:val="8"/>
  </w:num>
  <w:num w:numId="32" w16cid:durableId="1296984571">
    <w:abstractNumId w:val="17"/>
  </w:num>
  <w:num w:numId="33" w16cid:durableId="1335452797">
    <w:abstractNumId w:val="24"/>
  </w:num>
  <w:num w:numId="34" w16cid:durableId="1004671106">
    <w:abstractNumId w:val="26"/>
  </w:num>
  <w:num w:numId="35" w16cid:durableId="1150173473">
    <w:abstractNumId w:val="14"/>
  </w:num>
  <w:num w:numId="36" w16cid:durableId="15672626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:right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148"/>
    <w:rsid w:val="000003DC"/>
    <w:rsid w:val="0000063A"/>
    <w:rsid w:val="00000681"/>
    <w:rsid w:val="00000727"/>
    <w:rsid w:val="0000087C"/>
    <w:rsid w:val="00000A83"/>
    <w:rsid w:val="00000E60"/>
    <w:rsid w:val="00000E7A"/>
    <w:rsid w:val="00000EE1"/>
    <w:rsid w:val="000013D8"/>
    <w:rsid w:val="00001870"/>
    <w:rsid w:val="00001B52"/>
    <w:rsid w:val="00001BB3"/>
    <w:rsid w:val="000025D6"/>
    <w:rsid w:val="000026B9"/>
    <w:rsid w:val="00002ED8"/>
    <w:rsid w:val="00002EDA"/>
    <w:rsid w:val="00003483"/>
    <w:rsid w:val="000037EB"/>
    <w:rsid w:val="00003DA9"/>
    <w:rsid w:val="00003EB8"/>
    <w:rsid w:val="00004286"/>
    <w:rsid w:val="000042C6"/>
    <w:rsid w:val="000043F7"/>
    <w:rsid w:val="00004C0F"/>
    <w:rsid w:val="00004CD6"/>
    <w:rsid w:val="00004DBC"/>
    <w:rsid w:val="000050C9"/>
    <w:rsid w:val="00005986"/>
    <w:rsid w:val="00005AF0"/>
    <w:rsid w:val="000066FB"/>
    <w:rsid w:val="00006E87"/>
    <w:rsid w:val="00007050"/>
    <w:rsid w:val="000070E1"/>
    <w:rsid w:val="00007543"/>
    <w:rsid w:val="000077CA"/>
    <w:rsid w:val="0001026D"/>
    <w:rsid w:val="000104B2"/>
    <w:rsid w:val="00010D9F"/>
    <w:rsid w:val="000112AC"/>
    <w:rsid w:val="00011386"/>
    <w:rsid w:val="00011988"/>
    <w:rsid w:val="00011B00"/>
    <w:rsid w:val="00011B39"/>
    <w:rsid w:val="00012253"/>
    <w:rsid w:val="0001259E"/>
    <w:rsid w:val="000125B9"/>
    <w:rsid w:val="0001271D"/>
    <w:rsid w:val="0001281D"/>
    <w:rsid w:val="00012865"/>
    <w:rsid w:val="00012FAB"/>
    <w:rsid w:val="000133C1"/>
    <w:rsid w:val="0001362B"/>
    <w:rsid w:val="00013CB9"/>
    <w:rsid w:val="00013EAC"/>
    <w:rsid w:val="00014476"/>
    <w:rsid w:val="0001464F"/>
    <w:rsid w:val="0001472C"/>
    <w:rsid w:val="00014B95"/>
    <w:rsid w:val="00014EA7"/>
    <w:rsid w:val="000154E3"/>
    <w:rsid w:val="000156A6"/>
    <w:rsid w:val="00015D24"/>
    <w:rsid w:val="00015E80"/>
    <w:rsid w:val="000161C1"/>
    <w:rsid w:val="000163B7"/>
    <w:rsid w:val="00016451"/>
    <w:rsid w:val="000164D9"/>
    <w:rsid w:val="0001665F"/>
    <w:rsid w:val="000167AC"/>
    <w:rsid w:val="00016A53"/>
    <w:rsid w:val="00016EEE"/>
    <w:rsid w:val="00017598"/>
    <w:rsid w:val="0001765A"/>
    <w:rsid w:val="00017A48"/>
    <w:rsid w:val="00017A81"/>
    <w:rsid w:val="00017B92"/>
    <w:rsid w:val="00017C51"/>
    <w:rsid w:val="00020408"/>
    <w:rsid w:val="00020868"/>
    <w:rsid w:val="00020B81"/>
    <w:rsid w:val="000210EA"/>
    <w:rsid w:val="00021603"/>
    <w:rsid w:val="00021A8F"/>
    <w:rsid w:val="00022701"/>
    <w:rsid w:val="0002270B"/>
    <w:rsid w:val="0002277B"/>
    <w:rsid w:val="00022BE4"/>
    <w:rsid w:val="0002330C"/>
    <w:rsid w:val="0002359F"/>
    <w:rsid w:val="00023AD4"/>
    <w:rsid w:val="0002479F"/>
    <w:rsid w:val="00024A5D"/>
    <w:rsid w:val="0002502B"/>
    <w:rsid w:val="00025AA0"/>
    <w:rsid w:val="00025E7F"/>
    <w:rsid w:val="000263F8"/>
    <w:rsid w:val="00026455"/>
    <w:rsid w:val="000266DB"/>
    <w:rsid w:val="0002677E"/>
    <w:rsid w:val="00026946"/>
    <w:rsid w:val="000275CA"/>
    <w:rsid w:val="00030A81"/>
    <w:rsid w:val="00030C07"/>
    <w:rsid w:val="00030C25"/>
    <w:rsid w:val="00030CB5"/>
    <w:rsid w:val="00030FBC"/>
    <w:rsid w:val="000313BD"/>
    <w:rsid w:val="000314AB"/>
    <w:rsid w:val="00031E2A"/>
    <w:rsid w:val="0003224F"/>
    <w:rsid w:val="00032F53"/>
    <w:rsid w:val="0003384E"/>
    <w:rsid w:val="0003400E"/>
    <w:rsid w:val="00034143"/>
    <w:rsid w:val="000341FD"/>
    <w:rsid w:val="0003420F"/>
    <w:rsid w:val="000343C3"/>
    <w:rsid w:val="0003468D"/>
    <w:rsid w:val="000346C2"/>
    <w:rsid w:val="00034763"/>
    <w:rsid w:val="000358F9"/>
    <w:rsid w:val="000359CA"/>
    <w:rsid w:val="00035DC6"/>
    <w:rsid w:val="00035E80"/>
    <w:rsid w:val="00035F8B"/>
    <w:rsid w:val="00035FF3"/>
    <w:rsid w:val="00036550"/>
    <w:rsid w:val="00036CE7"/>
    <w:rsid w:val="00036E6A"/>
    <w:rsid w:val="00037124"/>
    <w:rsid w:val="00037137"/>
    <w:rsid w:val="000372EE"/>
    <w:rsid w:val="00037810"/>
    <w:rsid w:val="00037EE9"/>
    <w:rsid w:val="000404AA"/>
    <w:rsid w:val="0004075C"/>
    <w:rsid w:val="000408FE"/>
    <w:rsid w:val="00041A5C"/>
    <w:rsid w:val="00041C12"/>
    <w:rsid w:val="00041D60"/>
    <w:rsid w:val="00042434"/>
    <w:rsid w:val="00042784"/>
    <w:rsid w:val="000427B4"/>
    <w:rsid w:val="0004313D"/>
    <w:rsid w:val="000432CE"/>
    <w:rsid w:val="00043571"/>
    <w:rsid w:val="00043C77"/>
    <w:rsid w:val="00043CBD"/>
    <w:rsid w:val="00043FDC"/>
    <w:rsid w:val="000441ED"/>
    <w:rsid w:val="000443FA"/>
    <w:rsid w:val="00044694"/>
    <w:rsid w:val="00044B5B"/>
    <w:rsid w:val="00044D32"/>
    <w:rsid w:val="00044D55"/>
    <w:rsid w:val="00044EC7"/>
    <w:rsid w:val="00044FFD"/>
    <w:rsid w:val="00045145"/>
    <w:rsid w:val="00045286"/>
    <w:rsid w:val="00045555"/>
    <w:rsid w:val="000458F1"/>
    <w:rsid w:val="00045B74"/>
    <w:rsid w:val="00045BB7"/>
    <w:rsid w:val="00046454"/>
    <w:rsid w:val="00046558"/>
    <w:rsid w:val="00046984"/>
    <w:rsid w:val="00046C41"/>
    <w:rsid w:val="00046D2A"/>
    <w:rsid w:val="00047144"/>
    <w:rsid w:val="00047151"/>
    <w:rsid w:val="0004721F"/>
    <w:rsid w:val="0004733E"/>
    <w:rsid w:val="00047417"/>
    <w:rsid w:val="0004753D"/>
    <w:rsid w:val="00047685"/>
    <w:rsid w:val="00047934"/>
    <w:rsid w:val="00050417"/>
    <w:rsid w:val="00050549"/>
    <w:rsid w:val="00050893"/>
    <w:rsid w:val="00050940"/>
    <w:rsid w:val="00050976"/>
    <w:rsid w:val="00050A18"/>
    <w:rsid w:val="00050DB3"/>
    <w:rsid w:val="00050FD6"/>
    <w:rsid w:val="0005156F"/>
    <w:rsid w:val="000518BE"/>
    <w:rsid w:val="0005227F"/>
    <w:rsid w:val="000525B8"/>
    <w:rsid w:val="00052CD5"/>
    <w:rsid w:val="00052E54"/>
    <w:rsid w:val="000530A2"/>
    <w:rsid w:val="000530B2"/>
    <w:rsid w:val="000534AE"/>
    <w:rsid w:val="0005424B"/>
    <w:rsid w:val="000542B7"/>
    <w:rsid w:val="0005477B"/>
    <w:rsid w:val="00054B20"/>
    <w:rsid w:val="00054E06"/>
    <w:rsid w:val="00055362"/>
    <w:rsid w:val="00055457"/>
    <w:rsid w:val="00055A46"/>
    <w:rsid w:val="00055ACB"/>
    <w:rsid w:val="00055E86"/>
    <w:rsid w:val="00056145"/>
    <w:rsid w:val="0005671D"/>
    <w:rsid w:val="0005690C"/>
    <w:rsid w:val="0005745F"/>
    <w:rsid w:val="0005750A"/>
    <w:rsid w:val="000577C3"/>
    <w:rsid w:val="0005782A"/>
    <w:rsid w:val="0006050D"/>
    <w:rsid w:val="00060728"/>
    <w:rsid w:val="0006087D"/>
    <w:rsid w:val="00060C70"/>
    <w:rsid w:val="000610C3"/>
    <w:rsid w:val="00061478"/>
    <w:rsid w:val="00061816"/>
    <w:rsid w:val="00061A17"/>
    <w:rsid w:val="00061C0A"/>
    <w:rsid w:val="00061D7A"/>
    <w:rsid w:val="0006200D"/>
    <w:rsid w:val="0006210B"/>
    <w:rsid w:val="0006210E"/>
    <w:rsid w:val="00062158"/>
    <w:rsid w:val="000623DA"/>
    <w:rsid w:val="0006263E"/>
    <w:rsid w:val="00062BBC"/>
    <w:rsid w:val="00062CAD"/>
    <w:rsid w:val="00063B1A"/>
    <w:rsid w:val="00063CE7"/>
    <w:rsid w:val="00063EA9"/>
    <w:rsid w:val="00063EAB"/>
    <w:rsid w:val="0006401A"/>
    <w:rsid w:val="00064040"/>
    <w:rsid w:val="000644B1"/>
    <w:rsid w:val="00064748"/>
    <w:rsid w:val="00064880"/>
    <w:rsid w:val="00064918"/>
    <w:rsid w:val="00064AF8"/>
    <w:rsid w:val="00064C8B"/>
    <w:rsid w:val="000650E0"/>
    <w:rsid w:val="00065563"/>
    <w:rsid w:val="000655C9"/>
    <w:rsid w:val="00066B67"/>
    <w:rsid w:val="00067706"/>
    <w:rsid w:val="0007029E"/>
    <w:rsid w:val="000704C7"/>
    <w:rsid w:val="000708BD"/>
    <w:rsid w:val="00071558"/>
    <w:rsid w:val="000716B8"/>
    <w:rsid w:val="000719C4"/>
    <w:rsid w:val="00071E73"/>
    <w:rsid w:val="00072119"/>
    <w:rsid w:val="000723EE"/>
    <w:rsid w:val="000726B1"/>
    <w:rsid w:val="00073252"/>
    <w:rsid w:val="00073370"/>
    <w:rsid w:val="000734D8"/>
    <w:rsid w:val="00073634"/>
    <w:rsid w:val="000736AD"/>
    <w:rsid w:val="0007382A"/>
    <w:rsid w:val="00073906"/>
    <w:rsid w:val="00074030"/>
    <w:rsid w:val="00074426"/>
    <w:rsid w:val="00074E87"/>
    <w:rsid w:val="00074FC0"/>
    <w:rsid w:val="00075710"/>
    <w:rsid w:val="00075911"/>
    <w:rsid w:val="00075A2A"/>
    <w:rsid w:val="00075AB6"/>
    <w:rsid w:val="00075B66"/>
    <w:rsid w:val="00075BD9"/>
    <w:rsid w:val="00075CE6"/>
    <w:rsid w:val="00076472"/>
    <w:rsid w:val="00076607"/>
    <w:rsid w:val="0007685A"/>
    <w:rsid w:val="00076AA6"/>
    <w:rsid w:val="000770D5"/>
    <w:rsid w:val="00077771"/>
    <w:rsid w:val="00077790"/>
    <w:rsid w:val="00080747"/>
    <w:rsid w:val="00080A37"/>
    <w:rsid w:val="00080C7E"/>
    <w:rsid w:val="00080D09"/>
    <w:rsid w:val="000812CE"/>
    <w:rsid w:val="00081383"/>
    <w:rsid w:val="000823D5"/>
    <w:rsid w:val="00082622"/>
    <w:rsid w:val="00082883"/>
    <w:rsid w:val="00082BE9"/>
    <w:rsid w:val="000836B6"/>
    <w:rsid w:val="0008399B"/>
    <w:rsid w:val="00083CE6"/>
    <w:rsid w:val="00083D83"/>
    <w:rsid w:val="000841F3"/>
    <w:rsid w:val="00084382"/>
    <w:rsid w:val="00084BF8"/>
    <w:rsid w:val="00084E64"/>
    <w:rsid w:val="00084E69"/>
    <w:rsid w:val="000852CE"/>
    <w:rsid w:val="000853B5"/>
    <w:rsid w:val="0008550D"/>
    <w:rsid w:val="00085552"/>
    <w:rsid w:val="0008562C"/>
    <w:rsid w:val="00085903"/>
    <w:rsid w:val="00086301"/>
    <w:rsid w:val="0008631D"/>
    <w:rsid w:val="00086964"/>
    <w:rsid w:val="0008698B"/>
    <w:rsid w:val="0008722A"/>
    <w:rsid w:val="00087233"/>
    <w:rsid w:val="0008737D"/>
    <w:rsid w:val="0008738D"/>
    <w:rsid w:val="000877CE"/>
    <w:rsid w:val="00087912"/>
    <w:rsid w:val="00087C4B"/>
    <w:rsid w:val="00090550"/>
    <w:rsid w:val="00090E7C"/>
    <w:rsid w:val="00091201"/>
    <w:rsid w:val="0009130D"/>
    <w:rsid w:val="000915B8"/>
    <w:rsid w:val="000919C5"/>
    <w:rsid w:val="00091AC0"/>
    <w:rsid w:val="0009207F"/>
    <w:rsid w:val="0009269D"/>
    <w:rsid w:val="00092958"/>
    <w:rsid w:val="00092C69"/>
    <w:rsid w:val="000931D9"/>
    <w:rsid w:val="00093BF3"/>
    <w:rsid w:val="00093C0C"/>
    <w:rsid w:val="000944B5"/>
    <w:rsid w:val="00094576"/>
    <w:rsid w:val="00094B43"/>
    <w:rsid w:val="00094BD1"/>
    <w:rsid w:val="00094CE2"/>
    <w:rsid w:val="00094EBE"/>
    <w:rsid w:val="000950ED"/>
    <w:rsid w:val="000954F9"/>
    <w:rsid w:val="0009571A"/>
    <w:rsid w:val="00095754"/>
    <w:rsid w:val="000959F9"/>
    <w:rsid w:val="00095B85"/>
    <w:rsid w:val="00095DC5"/>
    <w:rsid w:val="00095E83"/>
    <w:rsid w:val="000963CA"/>
    <w:rsid w:val="000963D7"/>
    <w:rsid w:val="00096798"/>
    <w:rsid w:val="000967D3"/>
    <w:rsid w:val="000973AC"/>
    <w:rsid w:val="00097426"/>
    <w:rsid w:val="0009759D"/>
    <w:rsid w:val="000975EA"/>
    <w:rsid w:val="00097AC7"/>
    <w:rsid w:val="00097D12"/>
    <w:rsid w:val="000A006C"/>
    <w:rsid w:val="000A081D"/>
    <w:rsid w:val="000A0F59"/>
    <w:rsid w:val="000A1D80"/>
    <w:rsid w:val="000A1FAA"/>
    <w:rsid w:val="000A23D1"/>
    <w:rsid w:val="000A2673"/>
    <w:rsid w:val="000A2761"/>
    <w:rsid w:val="000A276D"/>
    <w:rsid w:val="000A2C5A"/>
    <w:rsid w:val="000A2CDB"/>
    <w:rsid w:val="000A355D"/>
    <w:rsid w:val="000A3846"/>
    <w:rsid w:val="000A3F03"/>
    <w:rsid w:val="000A3FA6"/>
    <w:rsid w:val="000A41CB"/>
    <w:rsid w:val="000A41E9"/>
    <w:rsid w:val="000A44F7"/>
    <w:rsid w:val="000A456E"/>
    <w:rsid w:val="000A4873"/>
    <w:rsid w:val="000A49BD"/>
    <w:rsid w:val="000A4DC1"/>
    <w:rsid w:val="000A56CF"/>
    <w:rsid w:val="000A5F0A"/>
    <w:rsid w:val="000A67F5"/>
    <w:rsid w:val="000A6C5C"/>
    <w:rsid w:val="000A733B"/>
    <w:rsid w:val="000A7484"/>
    <w:rsid w:val="000A76FC"/>
    <w:rsid w:val="000A7777"/>
    <w:rsid w:val="000A77F3"/>
    <w:rsid w:val="000A7B2C"/>
    <w:rsid w:val="000B0582"/>
    <w:rsid w:val="000B05A9"/>
    <w:rsid w:val="000B0AEC"/>
    <w:rsid w:val="000B0BF6"/>
    <w:rsid w:val="000B1017"/>
    <w:rsid w:val="000B1157"/>
    <w:rsid w:val="000B11B9"/>
    <w:rsid w:val="000B15A8"/>
    <w:rsid w:val="000B1A29"/>
    <w:rsid w:val="000B1B98"/>
    <w:rsid w:val="000B1BF1"/>
    <w:rsid w:val="000B1DCA"/>
    <w:rsid w:val="000B1FFA"/>
    <w:rsid w:val="000B26D3"/>
    <w:rsid w:val="000B29DE"/>
    <w:rsid w:val="000B2E7B"/>
    <w:rsid w:val="000B321A"/>
    <w:rsid w:val="000B3AFE"/>
    <w:rsid w:val="000B3EBF"/>
    <w:rsid w:val="000B402C"/>
    <w:rsid w:val="000B4422"/>
    <w:rsid w:val="000B44F5"/>
    <w:rsid w:val="000B46C8"/>
    <w:rsid w:val="000B4C04"/>
    <w:rsid w:val="000B4F00"/>
    <w:rsid w:val="000B50E6"/>
    <w:rsid w:val="000B5152"/>
    <w:rsid w:val="000B53CE"/>
    <w:rsid w:val="000B5571"/>
    <w:rsid w:val="000B579B"/>
    <w:rsid w:val="000B5DBA"/>
    <w:rsid w:val="000B5EF6"/>
    <w:rsid w:val="000B6184"/>
    <w:rsid w:val="000B65C2"/>
    <w:rsid w:val="000B668C"/>
    <w:rsid w:val="000B6727"/>
    <w:rsid w:val="000B67A3"/>
    <w:rsid w:val="000B6E81"/>
    <w:rsid w:val="000B7B12"/>
    <w:rsid w:val="000C0138"/>
    <w:rsid w:val="000C09E0"/>
    <w:rsid w:val="000C1456"/>
    <w:rsid w:val="000C15C4"/>
    <w:rsid w:val="000C1AB7"/>
    <w:rsid w:val="000C1C96"/>
    <w:rsid w:val="000C22D3"/>
    <w:rsid w:val="000C2336"/>
    <w:rsid w:val="000C26D4"/>
    <w:rsid w:val="000C29CB"/>
    <w:rsid w:val="000C317F"/>
    <w:rsid w:val="000C322A"/>
    <w:rsid w:val="000C35F4"/>
    <w:rsid w:val="000C3E01"/>
    <w:rsid w:val="000C3E0E"/>
    <w:rsid w:val="000C4209"/>
    <w:rsid w:val="000C42F9"/>
    <w:rsid w:val="000C471D"/>
    <w:rsid w:val="000C4AC1"/>
    <w:rsid w:val="000C5015"/>
    <w:rsid w:val="000C5030"/>
    <w:rsid w:val="000C50AF"/>
    <w:rsid w:val="000C5374"/>
    <w:rsid w:val="000C5434"/>
    <w:rsid w:val="000C58CB"/>
    <w:rsid w:val="000C5B1F"/>
    <w:rsid w:val="000C5DC0"/>
    <w:rsid w:val="000C5E1C"/>
    <w:rsid w:val="000C5FBF"/>
    <w:rsid w:val="000C622B"/>
    <w:rsid w:val="000C64BD"/>
    <w:rsid w:val="000C65D7"/>
    <w:rsid w:val="000C671E"/>
    <w:rsid w:val="000C68A5"/>
    <w:rsid w:val="000C69F1"/>
    <w:rsid w:val="000C6A73"/>
    <w:rsid w:val="000C6B64"/>
    <w:rsid w:val="000C6D04"/>
    <w:rsid w:val="000C6E26"/>
    <w:rsid w:val="000C6FCD"/>
    <w:rsid w:val="000C7038"/>
    <w:rsid w:val="000C7122"/>
    <w:rsid w:val="000C7319"/>
    <w:rsid w:val="000C75F5"/>
    <w:rsid w:val="000C792F"/>
    <w:rsid w:val="000C7B2C"/>
    <w:rsid w:val="000D00BF"/>
    <w:rsid w:val="000D02C9"/>
    <w:rsid w:val="000D05BC"/>
    <w:rsid w:val="000D0ECD"/>
    <w:rsid w:val="000D10AE"/>
    <w:rsid w:val="000D1337"/>
    <w:rsid w:val="000D149E"/>
    <w:rsid w:val="000D161E"/>
    <w:rsid w:val="000D1D91"/>
    <w:rsid w:val="000D1E5D"/>
    <w:rsid w:val="000D26A3"/>
    <w:rsid w:val="000D26AA"/>
    <w:rsid w:val="000D274C"/>
    <w:rsid w:val="000D2800"/>
    <w:rsid w:val="000D2CCD"/>
    <w:rsid w:val="000D2D46"/>
    <w:rsid w:val="000D2D54"/>
    <w:rsid w:val="000D2E97"/>
    <w:rsid w:val="000D2F2D"/>
    <w:rsid w:val="000D351D"/>
    <w:rsid w:val="000D3816"/>
    <w:rsid w:val="000D38C4"/>
    <w:rsid w:val="000D3B1D"/>
    <w:rsid w:val="000D3B6C"/>
    <w:rsid w:val="000D3E30"/>
    <w:rsid w:val="000D4383"/>
    <w:rsid w:val="000D4825"/>
    <w:rsid w:val="000D48C4"/>
    <w:rsid w:val="000D4EDB"/>
    <w:rsid w:val="000D5317"/>
    <w:rsid w:val="000D54CA"/>
    <w:rsid w:val="000D5EBD"/>
    <w:rsid w:val="000D635F"/>
    <w:rsid w:val="000D6536"/>
    <w:rsid w:val="000D6EA1"/>
    <w:rsid w:val="000D7516"/>
    <w:rsid w:val="000D7998"/>
    <w:rsid w:val="000D7BDB"/>
    <w:rsid w:val="000D7E82"/>
    <w:rsid w:val="000D7E95"/>
    <w:rsid w:val="000D7F1D"/>
    <w:rsid w:val="000E0315"/>
    <w:rsid w:val="000E0370"/>
    <w:rsid w:val="000E07CE"/>
    <w:rsid w:val="000E0C9A"/>
    <w:rsid w:val="000E0E54"/>
    <w:rsid w:val="000E1241"/>
    <w:rsid w:val="000E1951"/>
    <w:rsid w:val="000E1B60"/>
    <w:rsid w:val="000E1D65"/>
    <w:rsid w:val="000E202F"/>
    <w:rsid w:val="000E2AB8"/>
    <w:rsid w:val="000E2BA3"/>
    <w:rsid w:val="000E2CF0"/>
    <w:rsid w:val="000E428D"/>
    <w:rsid w:val="000E4472"/>
    <w:rsid w:val="000E560A"/>
    <w:rsid w:val="000E5622"/>
    <w:rsid w:val="000E5CAF"/>
    <w:rsid w:val="000E63B7"/>
    <w:rsid w:val="000E6C11"/>
    <w:rsid w:val="000E6D87"/>
    <w:rsid w:val="000E6F71"/>
    <w:rsid w:val="000E726D"/>
    <w:rsid w:val="000E73B5"/>
    <w:rsid w:val="000E7619"/>
    <w:rsid w:val="000E7624"/>
    <w:rsid w:val="000E7700"/>
    <w:rsid w:val="000E79AB"/>
    <w:rsid w:val="000E7E7E"/>
    <w:rsid w:val="000E7E81"/>
    <w:rsid w:val="000F06BC"/>
    <w:rsid w:val="000F0FB0"/>
    <w:rsid w:val="000F16E0"/>
    <w:rsid w:val="000F237F"/>
    <w:rsid w:val="000F28F1"/>
    <w:rsid w:val="000F2A7E"/>
    <w:rsid w:val="000F324B"/>
    <w:rsid w:val="000F34E2"/>
    <w:rsid w:val="000F3628"/>
    <w:rsid w:val="000F3846"/>
    <w:rsid w:val="000F39BD"/>
    <w:rsid w:val="000F419F"/>
    <w:rsid w:val="000F4A26"/>
    <w:rsid w:val="000F4A2C"/>
    <w:rsid w:val="000F4B32"/>
    <w:rsid w:val="000F4E21"/>
    <w:rsid w:val="000F5233"/>
    <w:rsid w:val="000F58A5"/>
    <w:rsid w:val="000F5A8E"/>
    <w:rsid w:val="000F5D71"/>
    <w:rsid w:val="000F5D81"/>
    <w:rsid w:val="000F5DC1"/>
    <w:rsid w:val="000F6027"/>
    <w:rsid w:val="000F6266"/>
    <w:rsid w:val="000F6480"/>
    <w:rsid w:val="000F673B"/>
    <w:rsid w:val="000F68C3"/>
    <w:rsid w:val="000F6AB7"/>
    <w:rsid w:val="000F7199"/>
    <w:rsid w:val="000F71A6"/>
    <w:rsid w:val="000F733F"/>
    <w:rsid w:val="000F77CA"/>
    <w:rsid w:val="000F7E92"/>
    <w:rsid w:val="000F7FF0"/>
    <w:rsid w:val="0010016C"/>
    <w:rsid w:val="00100207"/>
    <w:rsid w:val="00100325"/>
    <w:rsid w:val="00100772"/>
    <w:rsid w:val="00101097"/>
    <w:rsid w:val="001011F4"/>
    <w:rsid w:val="00101235"/>
    <w:rsid w:val="00101400"/>
    <w:rsid w:val="001018A1"/>
    <w:rsid w:val="001018BB"/>
    <w:rsid w:val="0010195D"/>
    <w:rsid w:val="00101B04"/>
    <w:rsid w:val="00101BC6"/>
    <w:rsid w:val="001021AE"/>
    <w:rsid w:val="00102267"/>
    <w:rsid w:val="0010256D"/>
    <w:rsid w:val="00102999"/>
    <w:rsid w:val="00102FB1"/>
    <w:rsid w:val="00103303"/>
    <w:rsid w:val="00103558"/>
    <w:rsid w:val="0010392A"/>
    <w:rsid w:val="00103B63"/>
    <w:rsid w:val="00103C8F"/>
    <w:rsid w:val="00103EFE"/>
    <w:rsid w:val="00104041"/>
    <w:rsid w:val="00104654"/>
    <w:rsid w:val="0010471E"/>
    <w:rsid w:val="00104969"/>
    <w:rsid w:val="001049F2"/>
    <w:rsid w:val="00104CC7"/>
    <w:rsid w:val="00105096"/>
    <w:rsid w:val="001051A7"/>
    <w:rsid w:val="00105549"/>
    <w:rsid w:val="00105B44"/>
    <w:rsid w:val="00105FC7"/>
    <w:rsid w:val="00106479"/>
    <w:rsid w:val="00106949"/>
    <w:rsid w:val="00106C6C"/>
    <w:rsid w:val="0010706F"/>
    <w:rsid w:val="00107577"/>
    <w:rsid w:val="00107B0F"/>
    <w:rsid w:val="00107BCE"/>
    <w:rsid w:val="00107C49"/>
    <w:rsid w:val="00107EA6"/>
    <w:rsid w:val="00107F8A"/>
    <w:rsid w:val="001101DF"/>
    <w:rsid w:val="00110296"/>
    <w:rsid w:val="001102FF"/>
    <w:rsid w:val="00110401"/>
    <w:rsid w:val="00110BB0"/>
    <w:rsid w:val="00110BCD"/>
    <w:rsid w:val="001111EA"/>
    <w:rsid w:val="00111985"/>
    <w:rsid w:val="001123EE"/>
    <w:rsid w:val="001125A7"/>
    <w:rsid w:val="001126C5"/>
    <w:rsid w:val="00112A58"/>
    <w:rsid w:val="00113F76"/>
    <w:rsid w:val="00113FA7"/>
    <w:rsid w:val="0011434D"/>
    <w:rsid w:val="00114537"/>
    <w:rsid w:val="0011457F"/>
    <w:rsid w:val="001153CA"/>
    <w:rsid w:val="00115B80"/>
    <w:rsid w:val="00115ECC"/>
    <w:rsid w:val="00115FA6"/>
    <w:rsid w:val="0011614F"/>
    <w:rsid w:val="00116B9D"/>
    <w:rsid w:val="00117010"/>
    <w:rsid w:val="001173C1"/>
    <w:rsid w:val="00117C2B"/>
    <w:rsid w:val="00120487"/>
    <w:rsid w:val="001205AD"/>
    <w:rsid w:val="00120901"/>
    <w:rsid w:val="00120A0B"/>
    <w:rsid w:val="00120C74"/>
    <w:rsid w:val="00120C9F"/>
    <w:rsid w:val="00120FF0"/>
    <w:rsid w:val="00121E6C"/>
    <w:rsid w:val="0012225B"/>
    <w:rsid w:val="001225E9"/>
    <w:rsid w:val="001225FF"/>
    <w:rsid w:val="001226A6"/>
    <w:rsid w:val="00122A2B"/>
    <w:rsid w:val="00122A83"/>
    <w:rsid w:val="00122A86"/>
    <w:rsid w:val="00122ABE"/>
    <w:rsid w:val="00122C63"/>
    <w:rsid w:val="00122DE6"/>
    <w:rsid w:val="00122FDE"/>
    <w:rsid w:val="00122FEC"/>
    <w:rsid w:val="00123727"/>
    <w:rsid w:val="00123D99"/>
    <w:rsid w:val="00124134"/>
    <w:rsid w:val="00124244"/>
    <w:rsid w:val="00124397"/>
    <w:rsid w:val="00124859"/>
    <w:rsid w:val="001249FB"/>
    <w:rsid w:val="00124BC3"/>
    <w:rsid w:val="00124DE3"/>
    <w:rsid w:val="00125062"/>
    <w:rsid w:val="001254E4"/>
    <w:rsid w:val="00125593"/>
    <w:rsid w:val="001258BF"/>
    <w:rsid w:val="001258C4"/>
    <w:rsid w:val="00125A94"/>
    <w:rsid w:val="00125D76"/>
    <w:rsid w:val="00125E32"/>
    <w:rsid w:val="00125F2B"/>
    <w:rsid w:val="00126726"/>
    <w:rsid w:val="00126950"/>
    <w:rsid w:val="00126BB3"/>
    <w:rsid w:val="001270C1"/>
    <w:rsid w:val="00127E7E"/>
    <w:rsid w:val="00127E9C"/>
    <w:rsid w:val="00130951"/>
    <w:rsid w:val="00130C46"/>
    <w:rsid w:val="00130C67"/>
    <w:rsid w:val="00130E3A"/>
    <w:rsid w:val="00131098"/>
    <w:rsid w:val="001310DC"/>
    <w:rsid w:val="001317C4"/>
    <w:rsid w:val="001318B0"/>
    <w:rsid w:val="001319A0"/>
    <w:rsid w:val="0013215C"/>
    <w:rsid w:val="001324E8"/>
    <w:rsid w:val="00132987"/>
    <w:rsid w:val="00132BD4"/>
    <w:rsid w:val="00132F04"/>
    <w:rsid w:val="00132FA1"/>
    <w:rsid w:val="00133061"/>
    <w:rsid w:val="0013309F"/>
    <w:rsid w:val="00133341"/>
    <w:rsid w:val="00133931"/>
    <w:rsid w:val="00133D5E"/>
    <w:rsid w:val="00134080"/>
    <w:rsid w:val="001343BE"/>
    <w:rsid w:val="00134439"/>
    <w:rsid w:val="001346AC"/>
    <w:rsid w:val="00134719"/>
    <w:rsid w:val="00134C40"/>
    <w:rsid w:val="00135123"/>
    <w:rsid w:val="00135353"/>
    <w:rsid w:val="0013596B"/>
    <w:rsid w:val="00135B11"/>
    <w:rsid w:val="0013609E"/>
    <w:rsid w:val="00136388"/>
    <w:rsid w:val="00136AC2"/>
    <w:rsid w:val="00136D2A"/>
    <w:rsid w:val="001370D0"/>
    <w:rsid w:val="00137883"/>
    <w:rsid w:val="00137B74"/>
    <w:rsid w:val="00140D48"/>
    <w:rsid w:val="00140E77"/>
    <w:rsid w:val="00140EC1"/>
    <w:rsid w:val="00140FBB"/>
    <w:rsid w:val="00141254"/>
    <w:rsid w:val="001416FD"/>
    <w:rsid w:val="00141D2F"/>
    <w:rsid w:val="00141F9F"/>
    <w:rsid w:val="00142A0A"/>
    <w:rsid w:val="00142A21"/>
    <w:rsid w:val="001430F2"/>
    <w:rsid w:val="0014316E"/>
    <w:rsid w:val="00143263"/>
    <w:rsid w:val="00143484"/>
    <w:rsid w:val="00143987"/>
    <w:rsid w:val="00144AB5"/>
    <w:rsid w:val="00144DFE"/>
    <w:rsid w:val="00144FA5"/>
    <w:rsid w:val="0014525A"/>
    <w:rsid w:val="001452D7"/>
    <w:rsid w:val="001454C4"/>
    <w:rsid w:val="001456B6"/>
    <w:rsid w:val="001458C3"/>
    <w:rsid w:val="00145E9E"/>
    <w:rsid w:val="0014640F"/>
    <w:rsid w:val="00146444"/>
    <w:rsid w:val="00146500"/>
    <w:rsid w:val="00146656"/>
    <w:rsid w:val="001468AA"/>
    <w:rsid w:val="00146962"/>
    <w:rsid w:val="00146BD2"/>
    <w:rsid w:val="001473BC"/>
    <w:rsid w:val="0014749F"/>
    <w:rsid w:val="0014758D"/>
    <w:rsid w:val="00147BE0"/>
    <w:rsid w:val="00147E2A"/>
    <w:rsid w:val="001503D3"/>
    <w:rsid w:val="00150476"/>
    <w:rsid w:val="001506AC"/>
    <w:rsid w:val="00150C3B"/>
    <w:rsid w:val="001515DC"/>
    <w:rsid w:val="0015168F"/>
    <w:rsid w:val="00151E4C"/>
    <w:rsid w:val="001521BB"/>
    <w:rsid w:val="0015230A"/>
    <w:rsid w:val="0015262D"/>
    <w:rsid w:val="00152E46"/>
    <w:rsid w:val="0015302E"/>
    <w:rsid w:val="001537C0"/>
    <w:rsid w:val="001539DA"/>
    <w:rsid w:val="00153DFE"/>
    <w:rsid w:val="00153E2A"/>
    <w:rsid w:val="00153F5C"/>
    <w:rsid w:val="001545D0"/>
    <w:rsid w:val="001547E6"/>
    <w:rsid w:val="00154A0F"/>
    <w:rsid w:val="0015507E"/>
    <w:rsid w:val="001551A4"/>
    <w:rsid w:val="001551CF"/>
    <w:rsid w:val="001555D9"/>
    <w:rsid w:val="0015585C"/>
    <w:rsid w:val="00155AD5"/>
    <w:rsid w:val="00155B92"/>
    <w:rsid w:val="00155E97"/>
    <w:rsid w:val="001560A3"/>
    <w:rsid w:val="001563C1"/>
    <w:rsid w:val="001564F7"/>
    <w:rsid w:val="00156A80"/>
    <w:rsid w:val="0015704C"/>
    <w:rsid w:val="00157600"/>
    <w:rsid w:val="00157B4D"/>
    <w:rsid w:val="00157D2E"/>
    <w:rsid w:val="00160199"/>
    <w:rsid w:val="0016092A"/>
    <w:rsid w:val="00160A2C"/>
    <w:rsid w:val="001610AD"/>
    <w:rsid w:val="001611E0"/>
    <w:rsid w:val="001612E7"/>
    <w:rsid w:val="001617B4"/>
    <w:rsid w:val="00161815"/>
    <w:rsid w:val="00161BDB"/>
    <w:rsid w:val="001620CD"/>
    <w:rsid w:val="001624EF"/>
    <w:rsid w:val="001624FB"/>
    <w:rsid w:val="001627EF"/>
    <w:rsid w:val="001628BD"/>
    <w:rsid w:val="00162A85"/>
    <w:rsid w:val="00162B33"/>
    <w:rsid w:val="00162BC8"/>
    <w:rsid w:val="00162C06"/>
    <w:rsid w:val="00162CB3"/>
    <w:rsid w:val="001637B4"/>
    <w:rsid w:val="00163993"/>
    <w:rsid w:val="00163D58"/>
    <w:rsid w:val="00164395"/>
    <w:rsid w:val="001646CD"/>
    <w:rsid w:val="001646DD"/>
    <w:rsid w:val="001648CB"/>
    <w:rsid w:val="00164AAC"/>
    <w:rsid w:val="00164C16"/>
    <w:rsid w:val="00165501"/>
    <w:rsid w:val="001658C8"/>
    <w:rsid w:val="00165A44"/>
    <w:rsid w:val="00165C69"/>
    <w:rsid w:val="00165F7F"/>
    <w:rsid w:val="00166153"/>
    <w:rsid w:val="001662B1"/>
    <w:rsid w:val="00166334"/>
    <w:rsid w:val="00166370"/>
    <w:rsid w:val="00166F5D"/>
    <w:rsid w:val="00167035"/>
    <w:rsid w:val="001672AC"/>
    <w:rsid w:val="00167C6F"/>
    <w:rsid w:val="00167E0E"/>
    <w:rsid w:val="00170392"/>
    <w:rsid w:val="001706BC"/>
    <w:rsid w:val="001710A0"/>
    <w:rsid w:val="001712E6"/>
    <w:rsid w:val="00171542"/>
    <w:rsid w:val="00172309"/>
    <w:rsid w:val="00172334"/>
    <w:rsid w:val="00172997"/>
    <w:rsid w:val="00172B87"/>
    <w:rsid w:val="00172EB7"/>
    <w:rsid w:val="00173097"/>
    <w:rsid w:val="001730F1"/>
    <w:rsid w:val="00173149"/>
    <w:rsid w:val="00173ACD"/>
    <w:rsid w:val="00173B08"/>
    <w:rsid w:val="00173BC5"/>
    <w:rsid w:val="00174890"/>
    <w:rsid w:val="00174FA8"/>
    <w:rsid w:val="00174FF2"/>
    <w:rsid w:val="001751AE"/>
    <w:rsid w:val="001754C1"/>
    <w:rsid w:val="0017563A"/>
    <w:rsid w:val="00175F1E"/>
    <w:rsid w:val="001761D8"/>
    <w:rsid w:val="00176335"/>
    <w:rsid w:val="00177307"/>
    <w:rsid w:val="001773EF"/>
    <w:rsid w:val="00177E55"/>
    <w:rsid w:val="00177F67"/>
    <w:rsid w:val="001800E5"/>
    <w:rsid w:val="001805E6"/>
    <w:rsid w:val="0018065E"/>
    <w:rsid w:val="001806D5"/>
    <w:rsid w:val="00180978"/>
    <w:rsid w:val="00180C21"/>
    <w:rsid w:val="00180D3E"/>
    <w:rsid w:val="001811FA"/>
    <w:rsid w:val="0018182C"/>
    <w:rsid w:val="001818AD"/>
    <w:rsid w:val="00181B32"/>
    <w:rsid w:val="00181CBF"/>
    <w:rsid w:val="00181DBD"/>
    <w:rsid w:val="0018207F"/>
    <w:rsid w:val="0018260B"/>
    <w:rsid w:val="00182889"/>
    <w:rsid w:val="001828B6"/>
    <w:rsid w:val="00182CC5"/>
    <w:rsid w:val="00182E66"/>
    <w:rsid w:val="00182F63"/>
    <w:rsid w:val="0018372F"/>
    <w:rsid w:val="00183B21"/>
    <w:rsid w:val="00183E7C"/>
    <w:rsid w:val="00183FF5"/>
    <w:rsid w:val="00184759"/>
    <w:rsid w:val="00184BE3"/>
    <w:rsid w:val="00184F31"/>
    <w:rsid w:val="00185290"/>
    <w:rsid w:val="001857E9"/>
    <w:rsid w:val="001859F4"/>
    <w:rsid w:val="0018609C"/>
    <w:rsid w:val="00186358"/>
    <w:rsid w:val="0018653F"/>
    <w:rsid w:val="00186566"/>
    <w:rsid w:val="0018659B"/>
    <w:rsid w:val="00186778"/>
    <w:rsid w:val="00186AA2"/>
    <w:rsid w:val="00186AA8"/>
    <w:rsid w:val="00186E33"/>
    <w:rsid w:val="00187071"/>
    <w:rsid w:val="001870F6"/>
    <w:rsid w:val="00187678"/>
    <w:rsid w:val="00187720"/>
    <w:rsid w:val="00187FB5"/>
    <w:rsid w:val="00190624"/>
    <w:rsid w:val="00190664"/>
    <w:rsid w:val="00190680"/>
    <w:rsid w:val="001907C1"/>
    <w:rsid w:val="00190F15"/>
    <w:rsid w:val="00190FBC"/>
    <w:rsid w:val="00190FC4"/>
    <w:rsid w:val="00191100"/>
    <w:rsid w:val="001911DE"/>
    <w:rsid w:val="00191215"/>
    <w:rsid w:val="001912AB"/>
    <w:rsid w:val="00191711"/>
    <w:rsid w:val="0019178B"/>
    <w:rsid w:val="00191A17"/>
    <w:rsid w:val="00191C8A"/>
    <w:rsid w:val="00191CD8"/>
    <w:rsid w:val="00192AC1"/>
    <w:rsid w:val="00192E81"/>
    <w:rsid w:val="00192FC0"/>
    <w:rsid w:val="001931A1"/>
    <w:rsid w:val="0019367F"/>
    <w:rsid w:val="0019375C"/>
    <w:rsid w:val="001937B6"/>
    <w:rsid w:val="001937C5"/>
    <w:rsid w:val="00193DA2"/>
    <w:rsid w:val="00193F3F"/>
    <w:rsid w:val="00193F9A"/>
    <w:rsid w:val="00194969"/>
    <w:rsid w:val="00194A3E"/>
    <w:rsid w:val="00194FF5"/>
    <w:rsid w:val="0019505E"/>
    <w:rsid w:val="0019551E"/>
    <w:rsid w:val="00195809"/>
    <w:rsid w:val="001958C8"/>
    <w:rsid w:val="00195AD4"/>
    <w:rsid w:val="00195AD8"/>
    <w:rsid w:val="00195B86"/>
    <w:rsid w:val="001965C6"/>
    <w:rsid w:val="0019666D"/>
    <w:rsid w:val="00196B49"/>
    <w:rsid w:val="00196CCE"/>
    <w:rsid w:val="00196E0C"/>
    <w:rsid w:val="00197D86"/>
    <w:rsid w:val="001A0332"/>
    <w:rsid w:val="001A0423"/>
    <w:rsid w:val="001A0514"/>
    <w:rsid w:val="001A0A4D"/>
    <w:rsid w:val="001A0CAD"/>
    <w:rsid w:val="001A0E47"/>
    <w:rsid w:val="001A0E57"/>
    <w:rsid w:val="001A11EC"/>
    <w:rsid w:val="001A1711"/>
    <w:rsid w:val="001A198B"/>
    <w:rsid w:val="001A1C1C"/>
    <w:rsid w:val="001A1E5E"/>
    <w:rsid w:val="001A2C90"/>
    <w:rsid w:val="001A2D5A"/>
    <w:rsid w:val="001A2E96"/>
    <w:rsid w:val="001A3141"/>
    <w:rsid w:val="001A3178"/>
    <w:rsid w:val="001A3A2F"/>
    <w:rsid w:val="001A3E22"/>
    <w:rsid w:val="001A4303"/>
    <w:rsid w:val="001A4357"/>
    <w:rsid w:val="001A4EFE"/>
    <w:rsid w:val="001A5989"/>
    <w:rsid w:val="001A5ADD"/>
    <w:rsid w:val="001A5D2F"/>
    <w:rsid w:val="001A5E0A"/>
    <w:rsid w:val="001A67D7"/>
    <w:rsid w:val="001A6A6D"/>
    <w:rsid w:val="001A6CEA"/>
    <w:rsid w:val="001A6E8D"/>
    <w:rsid w:val="001A7287"/>
    <w:rsid w:val="001A7707"/>
    <w:rsid w:val="001A7BD7"/>
    <w:rsid w:val="001B05A2"/>
    <w:rsid w:val="001B05DF"/>
    <w:rsid w:val="001B0817"/>
    <w:rsid w:val="001B08FB"/>
    <w:rsid w:val="001B0A8B"/>
    <w:rsid w:val="001B0C80"/>
    <w:rsid w:val="001B0DF4"/>
    <w:rsid w:val="001B18C0"/>
    <w:rsid w:val="001B1D80"/>
    <w:rsid w:val="001B1F4F"/>
    <w:rsid w:val="001B22D0"/>
    <w:rsid w:val="001B244B"/>
    <w:rsid w:val="001B2731"/>
    <w:rsid w:val="001B285B"/>
    <w:rsid w:val="001B2B75"/>
    <w:rsid w:val="001B3425"/>
    <w:rsid w:val="001B384A"/>
    <w:rsid w:val="001B3E16"/>
    <w:rsid w:val="001B4C2B"/>
    <w:rsid w:val="001B4DF5"/>
    <w:rsid w:val="001B4E3C"/>
    <w:rsid w:val="001B5273"/>
    <w:rsid w:val="001B5384"/>
    <w:rsid w:val="001B53C4"/>
    <w:rsid w:val="001B57DC"/>
    <w:rsid w:val="001B5915"/>
    <w:rsid w:val="001B5D9C"/>
    <w:rsid w:val="001B5F3F"/>
    <w:rsid w:val="001B642D"/>
    <w:rsid w:val="001B65BA"/>
    <w:rsid w:val="001B67B1"/>
    <w:rsid w:val="001B7339"/>
    <w:rsid w:val="001B7717"/>
    <w:rsid w:val="001B7CAF"/>
    <w:rsid w:val="001C01CC"/>
    <w:rsid w:val="001C05B0"/>
    <w:rsid w:val="001C063C"/>
    <w:rsid w:val="001C0AFE"/>
    <w:rsid w:val="001C0C8D"/>
    <w:rsid w:val="001C106D"/>
    <w:rsid w:val="001C135E"/>
    <w:rsid w:val="001C1438"/>
    <w:rsid w:val="001C14E0"/>
    <w:rsid w:val="001C1671"/>
    <w:rsid w:val="001C176E"/>
    <w:rsid w:val="001C1AB0"/>
    <w:rsid w:val="001C23DD"/>
    <w:rsid w:val="001C23E8"/>
    <w:rsid w:val="001C2CAF"/>
    <w:rsid w:val="001C3174"/>
    <w:rsid w:val="001C32E1"/>
    <w:rsid w:val="001C33E4"/>
    <w:rsid w:val="001C354C"/>
    <w:rsid w:val="001C3F9F"/>
    <w:rsid w:val="001C4365"/>
    <w:rsid w:val="001C443E"/>
    <w:rsid w:val="001C47C0"/>
    <w:rsid w:val="001C4CC9"/>
    <w:rsid w:val="001C51A2"/>
    <w:rsid w:val="001C51C2"/>
    <w:rsid w:val="001C5866"/>
    <w:rsid w:val="001C5939"/>
    <w:rsid w:val="001C5D1C"/>
    <w:rsid w:val="001C5F36"/>
    <w:rsid w:val="001C62BD"/>
    <w:rsid w:val="001C6712"/>
    <w:rsid w:val="001C73A0"/>
    <w:rsid w:val="001C7C0B"/>
    <w:rsid w:val="001C7D90"/>
    <w:rsid w:val="001C7FBC"/>
    <w:rsid w:val="001D03C5"/>
    <w:rsid w:val="001D0AF2"/>
    <w:rsid w:val="001D0BB7"/>
    <w:rsid w:val="001D0FA0"/>
    <w:rsid w:val="001D11E5"/>
    <w:rsid w:val="001D1255"/>
    <w:rsid w:val="001D19D4"/>
    <w:rsid w:val="001D2258"/>
    <w:rsid w:val="001D2817"/>
    <w:rsid w:val="001D2A56"/>
    <w:rsid w:val="001D310A"/>
    <w:rsid w:val="001D3391"/>
    <w:rsid w:val="001D354E"/>
    <w:rsid w:val="001D3631"/>
    <w:rsid w:val="001D3871"/>
    <w:rsid w:val="001D3FC6"/>
    <w:rsid w:val="001D41B0"/>
    <w:rsid w:val="001D4257"/>
    <w:rsid w:val="001D499F"/>
    <w:rsid w:val="001D5220"/>
    <w:rsid w:val="001D5B6C"/>
    <w:rsid w:val="001D5B79"/>
    <w:rsid w:val="001D5F0D"/>
    <w:rsid w:val="001D5F84"/>
    <w:rsid w:val="001D64A8"/>
    <w:rsid w:val="001D6B0F"/>
    <w:rsid w:val="001D6BFB"/>
    <w:rsid w:val="001D7099"/>
    <w:rsid w:val="001D775A"/>
    <w:rsid w:val="001D780A"/>
    <w:rsid w:val="001E0378"/>
    <w:rsid w:val="001E0D3C"/>
    <w:rsid w:val="001E1479"/>
    <w:rsid w:val="001E1546"/>
    <w:rsid w:val="001E1835"/>
    <w:rsid w:val="001E1AFA"/>
    <w:rsid w:val="001E1BCE"/>
    <w:rsid w:val="001E1BD0"/>
    <w:rsid w:val="001E1ED5"/>
    <w:rsid w:val="001E1FDE"/>
    <w:rsid w:val="001E20A5"/>
    <w:rsid w:val="001E20C7"/>
    <w:rsid w:val="001E232E"/>
    <w:rsid w:val="001E25F9"/>
    <w:rsid w:val="001E26F2"/>
    <w:rsid w:val="001E2B4E"/>
    <w:rsid w:val="001E2D55"/>
    <w:rsid w:val="001E340A"/>
    <w:rsid w:val="001E3DB7"/>
    <w:rsid w:val="001E3E49"/>
    <w:rsid w:val="001E3EA8"/>
    <w:rsid w:val="001E417C"/>
    <w:rsid w:val="001E426B"/>
    <w:rsid w:val="001E491F"/>
    <w:rsid w:val="001E4A2E"/>
    <w:rsid w:val="001E4C71"/>
    <w:rsid w:val="001E4D36"/>
    <w:rsid w:val="001E4DD1"/>
    <w:rsid w:val="001E523F"/>
    <w:rsid w:val="001E52CF"/>
    <w:rsid w:val="001E52F4"/>
    <w:rsid w:val="001E56E8"/>
    <w:rsid w:val="001E59E6"/>
    <w:rsid w:val="001E5AD5"/>
    <w:rsid w:val="001E5D6E"/>
    <w:rsid w:val="001E632F"/>
    <w:rsid w:val="001E6670"/>
    <w:rsid w:val="001E6BC1"/>
    <w:rsid w:val="001E6E4E"/>
    <w:rsid w:val="001E6F84"/>
    <w:rsid w:val="001E7117"/>
    <w:rsid w:val="001E7167"/>
    <w:rsid w:val="001E7199"/>
    <w:rsid w:val="001E7425"/>
    <w:rsid w:val="001E7619"/>
    <w:rsid w:val="001E7B03"/>
    <w:rsid w:val="001E7B64"/>
    <w:rsid w:val="001F04A8"/>
    <w:rsid w:val="001F0668"/>
    <w:rsid w:val="001F0B72"/>
    <w:rsid w:val="001F15CE"/>
    <w:rsid w:val="001F1691"/>
    <w:rsid w:val="001F18DB"/>
    <w:rsid w:val="001F201C"/>
    <w:rsid w:val="001F2567"/>
    <w:rsid w:val="001F29E6"/>
    <w:rsid w:val="001F2CA9"/>
    <w:rsid w:val="001F2F6C"/>
    <w:rsid w:val="001F2F9B"/>
    <w:rsid w:val="001F355F"/>
    <w:rsid w:val="001F368D"/>
    <w:rsid w:val="001F420B"/>
    <w:rsid w:val="001F497A"/>
    <w:rsid w:val="001F49E8"/>
    <w:rsid w:val="001F4A6B"/>
    <w:rsid w:val="001F4D88"/>
    <w:rsid w:val="001F522B"/>
    <w:rsid w:val="001F53EF"/>
    <w:rsid w:val="001F587F"/>
    <w:rsid w:val="001F58BA"/>
    <w:rsid w:val="001F5D2F"/>
    <w:rsid w:val="001F5E12"/>
    <w:rsid w:val="001F6032"/>
    <w:rsid w:val="001F60DF"/>
    <w:rsid w:val="001F6ECD"/>
    <w:rsid w:val="001F70D6"/>
    <w:rsid w:val="001F71DE"/>
    <w:rsid w:val="001F72F8"/>
    <w:rsid w:val="001F7BE1"/>
    <w:rsid w:val="001F7EA9"/>
    <w:rsid w:val="0020075C"/>
    <w:rsid w:val="002007A0"/>
    <w:rsid w:val="002007A5"/>
    <w:rsid w:val="002008DD"/>
    <w:rsid w:val="00200947"/>
    <w:rsid w:val="00200D34"/>
    <w:rsid w:val="00201390"/>
    <w:rsid w:val="002013B4"/>
    <w:rsid w:val="00201409"/>
    <w:rsid w:val="002017AA"/>
    <w:rsid w:val="00201877"/>
    <w:rsid w:val="00201B12"/>
    <w:rsid w:val="00201C7B"/>
    <w:rsid w:val="00201D7E"/>
    <w:rsid w:val="00202252"/>
    <w:rsid w:val="002026FC"/>
    <w:rsid w:val="00202749"/>
    <w:rsid w:val="00202AFB"/>
    <w:rsid w:val="00202D2F"/>
    <w:rsid w:val="002036CF"/>
    <w:rsid w:val="002043B4"/>
    <w:rsid w:val="0020449F"/>
    <w:rsid w:val="002047A3"/>
    <w:rsid w:val="00204B23"/>
    <w:rsid w:val="00204BAB"/>
    <w:rsid w:val="00204D8D"/>
    <w:rsid w:val="00204EC6"/>
    <w:rsid w:val="002050B8"/>
    <w:rsid w:val="00205383"/>
    <w:rsid w:val="002054B1"/>
    <w:rsid w:val="002056BA"/>
    <w:rsid w:val="00205E3D"/>
    <w:rsid w:val="00205FEA"/>
    <w:rsid w:val="00206043"/>
    <w:rsid w:val="002066B1"/>
    <w:rsid w:val="002066C2"/>
    <w:rsid w:val="00206997"/>
    <w:rsid w:val="00206D44"/>
    <w:rsid w:val="00206E16"/>
    <w:rsid w:val="00207761"/>
    <w:rsid w:val="002078BA"/>
    <w:rsid w:val="00207C27"/>
    <w:rsid w:val="00210003"/>
    <w:rsid w:val="0021007B"/>
    <w:rsid w:val="00210129"/>
    <w:rsid w:val="002104C1"/>
    <w:rsid w:val="002106D1"/>
    <w:rsid w:val="0021092F"/>
    <w:rsid w:val="002109A0"/>
    <w:rsid w:val="00210AFD"/>
    <w:rsid w:val="00210E60"/>
    <w:rsid w:val="00210FAE"/>
    <w:rsid w:val="00211035"/>
    <w:rsid w:val="00211AE7"/>
    <w:rsid w:val="00211FC1"/>
    <w:rsid w:val="002121B4"/>
    <w:rsid w:val="0021278A"/>
    <w:rsid w:val="00212F67"/>
    <w:rsid w:val="00212FBC"/>
    <w:rsid w:val="00213024"/>
    <w:rsid w:val="00213C15"/>
    <w:rsid w:val="00214747"/>
    <w:rsid w:val="002147BC"/>
    <w:rsid w:val="0021496F"/>
    <w:rsid w:val="002149B1"/>
    <w:rsid w:val="0021523D"/>
    <w:rsid w:val="002153A8"/>
    <w:rsid w:val="00215852"/>
    <w:rsid w:val="002159EF"/>
    <w:rsid w:val="002160AC"/>
    <w:rsid w:val="00216526"/>
    <w:rsid w:val="002167B6"/>
    <w:rsid w:val="00216F8F"/>
    <w:rsid w:val="00216FBC"/>
    <w:rsid w:val="002176EB"/>
    <w:rsid w:val="00217B0F"/>
    <w:rsid w:val="00217BC7"/>
    <w:rsid w:val="00217CDF"/>
    <w:rsid w:val="0022017E"/>
    <w:rsid w:val="00220211"/>
    <w:rsid w:val="002202BF"/>
    <w:rsid w:val="00220867"/>
    <w:rsid w:val="002209B3"/>
    <w:rsid w:val="00220BE0"/>
    <w:rsid w:val="00221932"/>
    <w:rsid w:val="00221AEE"/>
    <w:rsid w:val="00221FC9"/>
    <w:rsid w:val="0022210D"/>
    <w:rsid w:val="00222B01"/>
    <w:rsid w:val="00222FBE"/>
    <w:rsid w:val="002230BA"/>
    <w:rsid w:val="0022327C"/>
    <w:rsid w:val="00223359"/>
    <w:rsid w:val="002235BD"/>
    <w:rsid w:val="002237E0"/>
    <w:rsid w:val="00223AF6"/>
    <w:rsid w:val="00223D0D"/>
    <w:rsid w:val="00224691"/>
    <w:rsid w:val="002247E2"/>
    <w:rsid w:val="00224A97"/>
    <w:rsid w:val="002253FD"/>
    <w:rsid w:val="00225419"/>
    <w:rsid w:val="00226163"/>
    <w:rsid w:val="00226CCF"/>
    <w:rsid w:val="00226F66"/>
    <w:rsid w:val="00227283"/>
    <w:rsid w:val="00227FF9"/>
    <w:rsid w:val="00230AFE"/>
    <w:rsid w:val="00231CE3"/>
    <w:rsid w:val="00231D4A"/>
    <w:rsid w:val="00232082"/>
    <w:rsid w:val="0023250B"/>
    <w:rsid w:val="002325F6"/>
    <w:rsid w:val="00232656"/>
    <w:rsid w:val="00232C3B"/>
    <w:rsid w:val="00233697"/>
    <w:rsid w:val="002336A9"/>
    <w:rsid w:val="002337E9"/>
    <w:rsid w:val="00234A7B"/>
    <w:rsid w:val="002355D2"/>
    <w:rsid w:val="00235711"/>
    <w:rsid w:val="00235EF9"/>
    <w:rsid w:val="002360D7"/>
    <w:rsid w:val="002363E5"/>
    <w:rsid w:val="00236549"/>
    <w:rsid w:val="00236607"/>
    <w:rsid w:val="002369BA"/>
    <w:rsid w:val="00236A7A"/>
    <w:rsid w:val="00236EEE"/>
    <w:rsid w:val="00236F2D"/>
    <w:rsid w:val="0023775D"/>
    <w:rsid w:val="00237AA4"/>
    <w:rsid w:val="002400F5"/>
    <w:rsid w:val="002401BD"/>
    <w:rsid w:val="0024096D"/>
    <w:rsid w:val="00240BD7"/>
    <w:rsid w:val="00240C77"/>
    <w:rsid w:val="002410FE"/>
    <w:rsid w:val="00241202"/>
    <w:rsid w:val="0024161E"/>
    <w:rsid w:val="00241926"/>
    <w:rsid w:val="002419DE"/>
    <w:rsid w:val="00241BC4"/>
    <w:rsid w:val="00241CBD"/>
    <w:rsid w:val="0024280A"/>
    <w:rsid w:val="00242830"/>
    <w:rsid w:val="002429A8"/>
    <w:rsid w:val="00242CC6"/>
    <w:rsid w:val="00243123"/>
    <w:rsid w:val="00243262"/>
    <w:rsid w:val="00243B1A"/>
    <w:rsid w:val="00243E0E"/>
    <w:rsid w:val="00243FA5"/>
    <w:rsid w:val="002442E6"/>
    <w:rsid w:val="002444A2"/>
    <w:rsid w:val="002444FE"/>
    <w:rsid w:val="00244F32"/>
    <w:rsid w:val="00245645"/>
    <w:rsid w:val="00245681"/>
    <w:rsid w:val="00245815"/>
    <w:rsid w:val="00245907"/>
    <w:rsid w:val="00245AE5"/>
    <w:rsid w:val="00246065"/>
    <w:rsid w:val="00246D71"/>
    <w:rsid w:val="00246DF5"/>
    <w:rsid w:val="00246E34"/>
    <w:rsid w:val="00246EF5"/>
    <w:rsid w:val="00247A81"/>
    <w:rsid w:val="00247AFA"/>
    <w:rsid w:val="00250771"/>
    <w:rsid w:val="002507AA"/>
    <w:rsid w:val="00250A5E"/>
    <w:rsid w:val="00250F2F"/>
    <w:rsid w:val="002510FF"/>
    <w:rsid w:val="00251144"/>
    <w:rsid w:val="00251679"/>
    <w:rsid w:val="00251A2A"/>
    <w:rsid w:val="00251C23"/>
    <w:rsid w:val="00251C41"/>
    <w:rsid w:val="00252427"/>
    <w:rsid w:val="0025264C"/>
    <w:rsid w:val="00252DC4"/>
    <w:rsid w:val="00252E34"/>
    <w:rsid w:val="00253383"/>
    <w:rsid w:val="0025342A"/>
    <w:rsid w:val="002539BE"/>
    <w:rsid w:val="00253C0A"/>
    <w:rsid w:val="00253DC6"/>
    <w:rsid w:val="00253E9C"/>
    <w:rsid w:val="00254AA1"/>
    <w:rsid w:val="00254C1A"/>
    <w:rsid w:val="00254DEE"/>
    <w:rsid w:val="00254FF4"/>
    <w:rsid w:val="00255416"/>
    <w:rsid w:val="0025581F"/>
    <w:rsid w:val="00255CB3"/>
    <w:rsid w:val="00255D1C"/>
    <w:rsid w:val="00256335"/>
    <w:rsid w:val="002569BD"/>
    <w:rsid w:val="00256C2A"/>
    <w:rsid w:val="00256E5A"/>
    <w:rsid w:val="002571AA"/>
    <w:rsid w:val="002572F5"/>
    <w:rsid w:val="00257417"/>
    <w:rsid w:val="00257477"/>
    <w:rsid w:val="0025767C"/>
    <w:rsid w:val="002576B8"/>
    <w:rsid w:val="002576EB"/>
    <w:rsid w:val="00257AF9"/>
    <w:rsid w:val="0026074B"/>
    <w:rsid w:val="002612D1"/>
    <w:rsid w:val="0026155B"/>
    <w:rsid w:val="00261D7E"/>
    <w:rsid w:val="002625AB"/>
    <w:rsid w:val="00262B8F"/>
    <w:rsid w:val="00262D17"/>
    <w:rsid w:val="00262D5C"/>
    <w:rsid w:val="00262ED0"/>
    <w:rsid w:val="002631DB"/>
    <w:rsid w:val="0026345D"/>
    <w:rsid w:val="00263A35"/>
    <w:rsid w:val="00263AB3"/>
    <w:rsid w:val="00263B83"/>
    <w:rsid w:val="0026400C"/>
    <w:rsid w:val="002642B7"/>
    <w:rsid w:val="00264373"/>
    <w:rsid w:val="0026482A"/>
    <w:rsid w:val="00264C4D"/>
    <w:rsid w:val="00264D2C"/>
    <w:rsid w:val="002659C2"/>
    <w:rsid w:val="00265B01"/>
    <w:rsid w:val="00265F1F"/>
    <w:rsid w:val="0026660E"/>
    <w:rsid w:val="00266802"/>
    <w:rsid w:val="00266B36"/>
    <w:rsid w:val="00266CC1"/>
    <w:rsid w:val="00266D9B"/>
    <w:rsid w:val="00266E8C"/>
    <w:rsid w:val="0026724D"/>
    <w:rsid w:val="0026761D"/>
    <w:rsid w:val="00267689"/>
    <w:rsid w:val="00267A47"/>
    <w:rsid w:val="00267BF0"/>
    <w:rsid w:val="00267C1F"/>
    <w:rsid w:val="00267D51"/>
    <w:rsid w:val="00267EA2"/>
    <w:rsid w:val="00267F7D"/>
    <w:rsid w:val="00270566"/>
    <w:rsid w:val="002707BE"/>
    <w:rsid w:val="00270B98"/>
    <w:rsid w:val="00271305"/>
    <w:rsid w:val="0027151C"/>
    <w:rsid w:val="0027172C"/>
    <w:rsid w:val="00271B09"/>
    <w:rsid w:val="00271DE4"/>
    <w:rsid w:val="002722A8"/>
    <w:rsid w:val="002722C4"/>
    <w:rsid w:val="0027293F"/>
    <w:rsid w:val="002734C4"/>
    <w:rsid w:val="0027377D"/>
    <w:rsid w:val="0027385A"/>
    <w:rsid w:val="00273B1E"/>
    <w:rsid w:val="00273ECF"/>
    <w:rsid w:val="00273F63"/>
    <w:rsid w:val="00273F65"/>
    <w:rsid w:val="002742BD"/>
    <w:rsid w:val="00274A5C"/>
    <w:rsid w:val="00274DE1"/>
    <w:rsid w:val="002750BA"/>
    <w:rsid w:val="00275154"/>
    <w:rsid w:val="00275514"/>
    <w:rsid w:val="00275A6F"/>
    <w:rsid w:val="002762B6"/>
    <w:rsid w:val="002764C0"/>
    <w:rsid w:val="002770D3"/>
    <w:rsid w:val="002778D2"/>
    <w:rsid w:val="00277B4D"/>
    <w:rsid w:val="00277EF5"/>
    <w:rsid w:val="00280809"/>
    <w:rsid w:val="00280E7F"/>
    <w:rsid w:val="0028142D"/>
    <w:rsid w:val="00281520"/>
    <w:rsid w:val="00281597"/>
    <w:rsid w:val="002816F1"/>
    <w:rsid w:val="00281733"/>
    <w:rsid w:val="00281AFC"/>
    <w:rsid w:val="00281B7B"/>
    <w:rsid w:val="002825C2"/>
    <w:rsid w:val="002827C3"/>
    <w:rsid w:val="00282915"/>
    <w:rsid w:val="00282953"/>
    <w:rsid w:val="0028337D"/>
    <w:rsid w:val="00283481"/>
    <w:rsid w:val="002835E4"/>
    <w:rsid w:val="00283656"/>
    <w:rsid w:val="002838C1"/>
    <w:rsid w:val="00283AEB"/>
    <w:rsid w:val="00284478"/>
    <w:rsid w:val="00284C73"/>
    <w:rsid w:val="0028564D"/>
    <w:rsid w:val="00285B56"/>
    <w:rsid w:val="0028637B"/>
    <w:rsid w:val="002865F5"/>
    <w:rsid w:val="0028699E"/>
    <w:rsid w:val="00286C4D"/>
    <w:rsid w:val="00286E14"/>
    <w:rsid w:val="00286EEA"/>
    <w:rsid w:val="002872A3"/>
    <w:rsid w:val="0028764F"/>
    <w:rsid w:val="002879BB"/>
    <w:rsid w:val="002879F7"/>
    <w:rsid w:val="00287A2C"/>
    <w:rsid w:val="00287B23"/>
    <w:rsid w:val="00287BA7"/>
    <w:rsid w:val="00290397"/>
    <w:rsid w:val="002904ED"/>
    <w:rsid w:val="00290712"/>
    <w:rsid w:val="002909B4"/>
    <w:rsid w:val="002916B4"/>
    <w:rsid w:val="00291BDF"/>
    <w:rsid w:val="00291ED6"/>
    <w:rsid w:val="00292141"/>
    <w:rsid w:val="00292265"/>
    <w:rsid w:val="0029255E"/>
    <w:rsid w:val="002926D4"/>
    <w:rsid w:val="00292913"/>
    <w:rsid w:val="00292C65"/>
    <w:rsid w:val="00292E5B"/>
    <w:rsid w:val="0029347C"/>
    <w:rsid w:val="0029349D"/>
    <w:rsid w:val="002934AF"/>
    <w:rsid w:val="00293F39"/>
    <w:rsid w:val="002948ED"/>
    <w:rsid w:val="00294AF3"/>
    <w:rsid w:val="00294B00"/>
    <w:rsid w:val="00295296"/>
    <w:rsid w:val="002954F2"/>
    <w:rsid w:val="002955B2"/>
    <w:rsid w:val="002957B9"/>
    <w:rsid w:val="0029657A"/>
    <w:rsid w:val="00296901"/>
    <w:rsid w:val="0029712F"/>
    <w:rsid w:val="00297453"/>
    <w:rsid w:val="0029772C"/>
    <w:rsid w:val="00297948"/>
    <w:rsid w:val="002A0049"/>
    <w:rsid w:val="002A00ED"/>
    <w:rsid w:val="002A0150"/>
    <w:rsid w:val="002A02C8"/>
    <w:rsid w:val="002A034B"/>
    <w:rsid w:val="002A0B15"/>
    <w:rsid w:val="002A13BA"/>
    <w:rsid w:val="002A146E"/>
    <w:rsid w:val="002A1503"/>
    <w:rsid w:val="002A16D0"/>
    <w:rsid w:val="002A18FF"/>
    <w:rsid w:val="002A1BED"/>
    <w:rsid w:val="002A2AD5"/>
    <w:rsid w:val="002A2F5C"/>
    <w:rsid w:val="002A39CE"/>
    <w:rsid w:val="002A3A16"/>
    <w:rsid w:val="002A3A70"/>
    <w:rsid w:val="002A3C07"/>
    <w:rsid w:val="002A41BC"/>
    <w:rsid w:val="002A44CD"/>
    <w:rsid w:val="002A4727"/>
    <w:rsid w:val="002A4A20"/>
    <w:rsid w:val="002A4C1D"/>
    <w:rsid w:val="002A4E91"/>
    <w:rsid w:val="002A51E4"/>
    <w:rsid w:val="002A5295"/>
    <w:rsid w:val="002A543B"/>
    <w:rsid w:val="002A5517"/>
    <w:rsid w:val="002A5578"/>
    <w:rsid w:val="002A55B9"/>
    <w:rsid w:val="002A55FF"/>
    <w:rsid w:val="002A56A6"/>
    <w:rsid w:val="002A5CFA"/>
    <w:rsid w:val="002A601E"/>
    <w:rsid w:val="002A60E6"/>
    <w:rsid w:val="002A635E"/>
    <w:rsid w:val="002A680E"/>
    <w:rsid w:val="002A6958"/>
    <w:rsid w:val="002A752F"/>
    <w:rsid w:val="002A7661"/>
    <w:rsid w:val="002A7925"/>
    <w:rsid w:val="002A7946"/>
    <w:rsid w:val="002B074D"/>
    <w:rsid w:val="002B075D"/>
    <w:rsid w:val="002B0AFD"/>
    <w:rsid w:val="002B0C2C"/>
    <w:rsid w:val="002B0DA8"/>
    <w:rsid w:val="002B0E16"/>
    <w:rsid w:val="002B11D1"/>
    <w:rsid w:val="002B1494"/>
    <w:rsid w:val="002B1A15"/>
    <w:rsid w:val="002B1B3B"/>
    <w:rsid w:val="002B1D04"/>
    <w:rsid w:val="002B20BC"/>
    <w:rsid w:val="002B279C"/>
    <w:rsid w:val="002B2E37"/>
    <w:rsid w:val="002B30B9"/>
    <w:rsid w:val="002B319F"/>
    <w:rsid w:val="002B33E6"/>
    <w:rsid w:val="002B351C"/>
    <w:rsid w:val="002B37B2"/>
    <w:rsid w:val="002B3835"/>
    <w:rsid w:val="002B3B41"/>
    <w:rsid w:val="002B3BCE"/>
    <w:rsid w:val="002B3F29"/>
    <w:rsid w:val="002B423C"/>
    <w:rsid w:val="002B42A7"/>
    <w:rsid w:val="002B49D1"/>
    <w:rsid w:val="002B4FC7"/>
    <w:rsid w:val="002B5127"/>
    <w:rsid w:val="002B514F"/>
    <w:rsid w:val="002B5B86"/>
    <w:rsid w:val="002B5F3C"/>
    <w:rsid w:val="002B653D"/>
    <w:rsid w:val="002B65D7"/>
    <w:rsid w:val="002B692A"/>
    <w:rsid w:val="002B6A8F"/>
    <w:rsid w:val="002B6C8A"/>
    <w:rsid w:val="002B6CA3"/>
    <w:rsid w:val="002B6DD5"/>
    <w:rsid w:val="002B6FAA"/>
    <w:rsid w:val="002B704E"/>
    <w:rsid w:val="002B76CD"/>
    <w:rsid w:val="002B7C14"/>
    <w:rsid w:val="002B7D04"/>
    <w:rsid w:val="002B7D7C"/>
    <w:rsid w:val="002C058A"/>
    <w:rsid w:val="002C0941"/>
    <w:rsid w:val="002C1974"/>
    <w:rsid w:val="002C1ABB"/>
    <w:rsid w:val="002C1D0A"/>
    <w:rsid w:val="002C1EA5"/>
    <w:rsid w:val="002C1FEC"/>
    <w:rsid w:val="002C237D"/>
    <w:rsid w:val="002C23BC"/>
    <w:rsid w:val="002C256D"/>
    <w:rsid w:val="002C2CF2"/>
    <w:rsid w:val="002C31AA"/>
    <w:rsid w:val="002C3467"/>
    <w:rsid w:val="002C37A9"/>
    <w:rsid w:val="002C3AB5"/>
    <w:rsid w:val="002C3ED2"/>
    <w:rsid w:val="002C5001"/>
    <w:rsid w:val="002C51BB"/>
    <w:rsid w:val="002C5A69"/>
    <w:rsid w:val="002C5FCF"/>
    <w:rsid w:val="002C666C"/>
    <w:rsid w:val="002C6746"/>
    <w:rsid w:val="002C6C46"/>
    <w:rsid w:val="002C7029"/>
    <w:rsid w:val="002C726E"/>
    <w:rsid w:val="002C72A4"/>
    <w:rsid w:val="002C7422"/>
    <w:rsid w:val="002C7D57"/>
    <w:rsid w:val="002C7F38"/>
    <w:rsid w:val="002D001A"/>
    <w:rsid w:val="002D0035"/>
    <w:rsid w:val="002D0534"/>
    <w:rsid w:val="002D08A6"/>
    <w:rsid w:val="002D0A00"/>
    <w:rsid w:val="002D0A28"/>
    <w:rsid w:val="002D0A72"/>
    <w:rsid w:val="002D0C75"/>
    <w:rsid w:val="002D0DA4"/>
    <w:rsid w:val="002D0EB9"/>
    <w:rsid w:val="002D160F"/>
    <w:rsid w:val="002D1692"/>
    <w:rsid w:val="002D16BA"/>
    <w:rsid w:val="002D1D90"/>
    <w:rsid w:val="002D1F62"/>
    <w:rsid w:val="002D200C"/>
    <w:rsid w:val="002D2ACF"/>
    <w:rsid w:val="002D2D3C"/>
    <w:rsid w:val="002D3151"/>
    <w:rsid w:val="002D36F4"/>
    <w:rsid w:val="002D3AA9"/>
    <w:rsid w:val="002D3D62"/>
    <w:rsid w:val="002D3DF0"/>
    <w:rsid w:val="002D418C"/>
    <w:rsid w:val="002D4240"/>
    <w:rsid w:val="002D471C"/>
    <w:rsid w:val="002D4BC0"/>
    <w:rsid w:val="002D4F04"/>
    <w:rsid w:val="002D5058"/>
    <w:rsid w:val="002D550C"/>
    <w:rsid w:val="002D569F"/>
    <w:rsid w:val="002D582C"/>
    <w:rsid w:val="002D5A0A"/>
    <w:rsid w:val="002D5DB2"/>
    <w:rsid w:val="002D5F42"/>
    <w:rsid w:val="002D68EC"/>
    <w:rsid w:val="002D6940"/>
    <w:rsid w:val="002D6D3B"/>
    <w:rsid w:val="002D71C9"/>
    <w:rsid w:val="002D7555"/>
    <w:rsid w:val="002D768C"/>
    <w:rsid w:val="002D7757"/>
    <w:rsid w:val="002D7B0A"/>
    <w:rsid w:val="002D7B20"/>
    <w:rsid w:val="002D7BEF"/>
    <w:rsid w:val="002D7CB5"/>
    <w:rsid w:val="002D7F72"/>
    <w:rsid w:val="002E00FB"/>
    <w:rsid w:val="002E0BFE"/>
    <w:rsid w:val="002E0E60"/>
    <w:rsid w:val="002E0FB5"/>
    <w:rsid w:val="002E14CF"/>
    <w:rsid w:val="002E1A74"/>
    <w:rsid w:val="002E1DDF"/>
    <w:rsid w:val="002E2028"/>
    <w:rsid w:val="002E2215"/>
    <w:rsid w:val="002E2864"/>
    <w:rsid w:val="002E2EA1"/>
    <w:rsid w:val="002E3047"/>
    <w:rsid w:val="002E3396"/>
    <w:rsid w:val="002E356E"/>
    <w:rsid w:val="002E35E0"/>
    <w:rsid w:val="002E3E87"/>
    <w:rsid w:val="002E3EF5"/>
    <w:rsid w:val="002E3F35"/>
    <w:rsid w:val="002E3F39"/>
    <w:rsid w:val="002E444F"/>
    <w:rsid w:val="002E4574"/>
    <w:rsid w:val="002E463D"/>
    <w:rsid w:val="002E46CA"/>
    <w:rsid w:val="002E48F9"/>
    <w:rsid w:val="002E4942"/>
    <w:rsid w:val="002E4ADD"/>
    <w:rsid w:val="002E4DE4"/>
    <w:rsid w:val="002E56FB"/>
    <w:rsid w:val="002E58C2"/>
    <w:rsid w:val="002E5A53"/>
    <w:rsid w:val="002E621A"/>
    <w:rsid w:val="002E68D2"/>
    <w:rsid w:val="002E6A2C"/>
    <w:rsid w:val="002E6A94"/>
    <w:rsid w:val="002E6D3C"/>
    <w:rsid w:val="002E6E90"/>
    <w:rsid w:val="002E6F58"/>
    <w:rsid w:val="002E7173"/>
    <w:rsid w:val="002E761E"/>
    <w:rsid w:val="002E771B"/>
    <w:rsid w:val="002E79D5"/>
    <w:rsid w:val="002E79EF"/>
    <w:rsid w:val="002E7DDC"/>
    <w:rsid w:val="002E7EF6"/>
    <w:rsid w:val="002E7F6B"/>
    <w:rsid w:val="002F06DA"/>
    <w:rsid w:val="002F0836"/>
    <w:rsid w:val="002F0C15"/>
    <w:rsid w:val="002F0F75"/>
    <w:rsid w:val="002F1006"/>
    <w:rsid w:val="002F17F1"/>
    <w:rsid w:val="002F1A92"/>
    <w:rsid w:val="002F1AED"/>
    <w:rsid w:val="002F2159"/>
    <w:rsid w:val="002F291E"/>
    <w:rsid w:val="002F29C6"/>
    <w:rsid w:val="002F2A8F"/>
    <w:rsid w:val="002F3187"/>
    <w:rsid w:val="002F375D"/>
    <w:rsid w:val="002F3994"/>
    <w:rsid w:val="002F4482"/>
    <w:rsid w:val="002F4E03"/>
    <w:rsid w:val="002F5204"/>
    <w:rsid w:val="002F52A8"/>
    <w:rsid w:val="002F5312"/>
    <w:rsid w:val="002F56BC"/>
    <w:rsid w:val="002F5D40"/>
    <w:rsid w:val="002F64A1"/>
    <w:rsid w:val="002F6764"/>
    <w:rsid w:val="002F68F3"/>
    <w:rsid w:val="002F6977"/>
    <w:rsid w:val="002F6C7D"/>
    <w:rsid w:val="002F6D3D"/>
    <w:rsid w:val="002F700A"/>
    <w:rsid w:val="002F73B9"/>
    <w:rsid w:val="002F743D"/>
    <w:rsid w:val="002F7625"/>
    <w:rsid w:val="002F79D8"/>
    <w:rsid w:val="002F7B8C"/>
    <w:rsid w:val="00300148"/>
    <w:rsid w:val="003003C0"/>
    <w:rsid w:val="0030048B"/>
    <w:rsid w:val="00300914"/>
    <w:rsid w:val="00300916"/>
    <w:rsid w:val="00300DB7"/>
    <w:rsid w:val="00300EF9"/>
    <w:rsid w:val="00300FAC"/>
    <w:rsid w:val="00300FB2"/>
    <w:rsid w:val="00301238"/>
    <w:rsid w:val="003014C6"/>
    <w:rsid w:val="003017F7"/>
    <w:rsid w:val="00301F94"/>
    <w:rsid w:val="00302334"/>
    <w:rsid w:val="0030240C"/>
    <w:rsid w:val="003029CB"/>
    <w:rsid w:val="00302C46"/>
    <w:rsid w:val="0030318F"/>
    <w:rsid w:val="003034D8"/>
    <w:rsid w:val="003036CF"/>
    <w:rsid w:val="00303824"/>
    <w:rsid w:val="00303B18"/>
    <w:rsid w:val="003043FB"/>
    <w:rsid w:val="00304E13"/>
    <w:rsid w:val="003054BA"/>
    <w:rsid w:val="00305D1A"/>
    <w:rsid w:val="0030694E"/>
    <w:rsid w:val="00306BCE"/>
    <w:rsid w:val="00306C0D"/>
    <w:rsid w:val="003073CE"/>
    <w:rsid w:val="00307403"/>
    <w:rsid w:val="003075A2"/>
    <w:rsid w:val="00307C3F"/>
    <w:rsid w:val="00307DE6"/>
    <w:rsid w:val="00310F47"/>
    <w:rsid w:val="00310F5C"/>
    <w:rsid w:val="00311575"/>
    <w:rsid w:val="00311653"/>
    <w:rsid w:val="003116F8"/>
    <w:rsid w:val="003117C5"/>
    <w:rsid w:val="003117F9"/>
    <w:rsid w:val="00311BC4"/>
    <w:rsid w:val="003121DB"/>
    <w:rsid w:val="003124D6"/>
    <w:rsid w:val="00312646"/>
    <w:rsid w:val="00312769"/>
    <w:rsid w:val="0031291E"/>
    <w:rsid w:val="00312D3B"/>
    <w:rsid w:val="00312E1F"/>
    <w:rsid w:val="0031360F"/>
    <w:rsid w:val="00313801"/>
    <w:rsid w:val="0031394A"/>
    <w:rsid w:val="00313A83"/>
    <w:rsid w:val="00313B53"/>
    <w:rsid w:val="00313E93"/>
    <w:rsid w:val="00314A87"/>
    <w:rsid w:val="00314B06"/>
    <w:rsid w:val="00314B32"/>
    <w:rsid w:val="0031530F"/>
    <w:rsid w:val="0031556C"/>
    <w:rsid w:val="003156D2"/>
    <w:rsid w:val="003158FB"/>
    <w:rsid w:val="0031598F"/>
    <w:rsid w:val="00315E92"/>
    <w:rsid w:val="003162D0"/>
    <w:rsid w:val="00316551"/>
    <w:rsid w:val="00316566"/>
    <w:rsid w:val="00316590"/>
    <w:rsid w:val="003167BF"/>
    <w:rsid w:val="00316994"/>
    <w:rsid w:val="00316D92"/>
    <w:rsid w:val="00317086"/>
    <w:rsid w:val="0031722C"/>
    <w:rsid w:val="0031727B"/>
    <w:rsid w:val="00317F46"/>
    <w:rsid w:val="00317F87"/>
    <w:rsid w:val="00320699"/>
    <w:rsid w:val="00320C5B"/>
    <w:rsid w:val="00320D9E"/>
    <w:rsid w:val="00320E8D"/>
    <w:rsid w:val="00320FE6"/>
    <w:rsid w:val="0032139A"/>
    <w:rsid w:val="0032179C"/>
    <w:rsid w:val="0032179E"/>
    <w:rsid w:val="003219E8"/>
    <w:rsid w:val="00321E96"/>
    <w:rsid w:val="00321FE4"/>
    <w:rsid w:val="003226CC"/>
    <w:rsid w:val="00322747"/>
    <w:rsid w:val="00322828"/>
    <w:rsid w:val="003228B6"/>
    <w:rsid w:val="003229AF"/>
    <w:rsid w:val="003229CD"/>
    <w:rsid w:val="00322C5A"/>
    <w:rsid w:val="003237AC"/>
    <w:rsid w:val="0032390F"/>
    <w:rsid w:val="00323B8E"/>
    <w:rsid w:val="00325800"/>
    <w:rsid w:val="0032582B"/>
    <w:rsid w:val="00325A89"/>
    <w:rsid w:val="00325AC4"/>
    <w:rsid w:val="00325DBE"/>
    <w:rsid w:val="00325FC6"/>
    <w:rsid w:val="0032608C"/>
    <w:rsid w:val="003260D7"/>
    <w:rsid w:val="0032652F"/>
    <w:rsid w:val="0032677A"/>
    <w:rsid w:val="00326833"/>
    <w:rsid w:val="00326F99"/>
    <w:rsid w:val="00326FF9"/>
    <w:rsid w:val="003270EB"/>
    <w:rsid w:val="003276E8"/>
    <w:rsid w:val="00327C31"/>
    <w:rsid w:val="0033067F"/>
    <w:rsid w:val="00331279"/>
    <w:rsid w:val="003317D3"/>
    <w:rsid w:val="00331A17"/>
    <w:rsid w:val="00331A53"/>
    <w:rsid w:val="00331C74"/>
    <w:rsid w:val="00331CC1"/>
    <w:rsid w:val="003320E3"/>
    <w:rsid w:val="0033242F"/>
    <w:rsid w:val="0033263E"/>
    <w:rsid w:val="00332CC7"/>
    <w:rsid w:val="003330B1"/>
    <w:rsid w:val="003332A4"/>
    <w:rsid w:val="003334DA"/>
    <w:rsid w:val="003336D7"/>
    <w:rsid w:val="0033378F"/>
    <w:rsid w:val="00333E6C"/>
    <w:rsid w:val="00334046"/>
    <w:rsid w:val="003340A5"/>
    <w:rsid w:val="00334723"/>
    <w:rsid w:val="00334E0F"/>
    <w:rsid w:val="00334F60"/>
    <w:rsid w:val="0033521B"/>
    <w:rsid w:val="003354B3"/>
    <w:rsid w:val="00335924"/>
    <w:rsid w:val="00335D8D"/>
    <w:rsid w:val="0033650C"/>
    <w:rsid w:val="00336542"/>
    <w:rsid w:val="00336AEF"/>
    <w:rsid w:val="00336F61"/>
    <w:rsid w:val="0033713D"/>
    <w:rsid w:val="00337494"/>
    <w:rsid w:val="003374D5"/>
    <w:rsid w:val="00337541"/>
    <w:rsid w:val="003378F9"/>
    <w:rsid w:val="00337C5A"/>
    <w:rsid w:val="00337C80"/>
    <w:rsid w:val="00337FB4"/>
    <w:rsid w:val="003402B6"/>
    <w:rsid w:val="00340A9E"/>
    <w:rsid w:val="00340C8B"/>
    <w:rsid w:val="00341320"/>
    <w:rsid w:val="00341B7D"/>
    <w:rsid w:val="00341D96"/>
    <w:rsid w:val="003423A9"/>
    <w:rsid w:val="003428CA"/>
    <w:rsid w:val="003429DF"/>
    <w:rsid w:val="00342AC1"/>
    <w:rsid w:val="00342FAD"/>
    <w:rsid w:val="00343630"/>
    <w:rsid w:val="003439F2"/>
    <w:rsid w:val="00343BA4"/>
    <w:rsid w:val="00343CEE"/>
    <w:rsid w:val="00343DD8"/>
    <w:rsid w:val="00343EB5"/>
    <w:rsid w:val="00344193"/>
    <w:rsid w:val="0034432B"/>
    <w:rsid w:val="003444F0"/>
    <w:rsid w:val="00344B9E"/>
    <w:rsid w:val="003460EB"/>
    <w:rsid w:val="00346314"/>
    <w:rsid w:val="00346967"/>
    <w:rsid w:val="003469B5"/>
    <w:rsid w:val="00346B88"/>
    <w:rsid w:val="00346BE1"/>
    <w:rsid w:val="00346CDA"/>
    <w:rsid w:val="003476B3"/>
    <w:rsid w:val="00347705"/>
    <w:rsid w:val="0034786C"/>
    <w:rsid w:val="00347AD6"/>
    <w:rsid w:val="00347E63"/>
    <w:rsid w:val="00350256"/>
    <w:rsid w:val="00350620"/>
    <w:rsid w:val="00350810"/>
    <w:rsid w:val="00350943"/>
    <w:rsid w:val="0035112F"/>
    <w:rsid w:val="00351389"/>
    <w:rsid w:val="003513DA"/>
    <w:rsid w:val="00351D77"/>
    <w:rsid w:val="00351DC1"/>
    <w:rsid w:val="003521C6"/>
    <w:rsid w:val="00352289"/>
    <w:rsid w:val="0035289E"/>
    <w:rsid w:val="00352D72"/>
    <w:rsid w:val="00352EF6"/>
    <w:rsid w:val="003531CA"/>
    <w:rsid w:val="0035365E"/>
    <w:rsid w:val="00354521"/>
    <w:rsid w:val="003545AB"/>
    <w:rsid w:val="00354630"/>
    <w:rsid w:val="003548AC"/>
    <w:rsid w:val="00354AD7"/>
    <w:rsid w:val="00354D1C"/>
    <w:rsid w:val="00354FFE"/>
    <w:rsid w:val="00355106"/>
    <w:rsid w:val="0035581D"/>
    <w:rsid w:val="00355FA6"/>
    <w:rsid w:val="00355FC2"/>
    <w:rsid w:val="0035626F"/>
    <w:rsid w:val="003562BB"/>
    <w:rsid w:val="00356391"/>
    <w:rsid w:val="00356608"/>
    <w:rsid w:val="00356BFB"/>
    <w:rsid w:val="00356CD1"/>
    <w:rsid w:val="00357171"/>
    <w:rsid w:val="00357822"/>
    <w:rsid w:val="003579CE"/>
    <w:rsid w:val="00357AD7"/>
    <w:rsid w:val="00357B29"/>
    <w:rsid w:val="00360538"/>
    <w:rsid w:val="00360574"/>
    <w:rsid w:val="003605E2"/>
    <w:rsid w:val="00360AE5"/>
    <w:rsid w:val="00360C11"/>
    <w:rsid w:val="00360CAC"/>
    <w:rsid w:val="00360F20"/>
    <w:rsid w:val="0036120A"/>
    <w:rsid w:val="00361346"/>
    <w:rsid w:val="00361404"/>
    <w:rsid w:val="003615AD"/>
    <w:rsid w:val="003615C7"/>
    <w:rsid w:val="00361636"/>
    <w:rsid w:val="00361782"/>
    <w:rsid w:val="003618AE"/>
    <w:rsid w:val="00361BAA"/>
    <w:rsid w:val="00362043"/>
    <w:rsid w:val="00362249"/>
    <w:rsid w:val="00362897"/>
    <w:rsid w:val="00363118"/>
    <w:rsid w:val="00363422"/>
    <w:rsid w:val="00363749"/>
    <w:rsid w:val="00363942"/>
    <w:rsid w:val="00363F61"/>
    <w:rsid w:val="00364204"/>
    <w:rsid w:val="00364234"/>
    <w:rsid w:val="003643E2"/>
    <w:rsid w:val="00364590"/>
    <w:rsid w:val="0036477F"/>
    <w:rsid w:val="003649AB"/>
    <w:rsid w:val="00364D94"/>
    <w:rsid w:val="003650DA"/>
    <w:rsid w:val="003653B3"/>
    <w:rsid w:val="00365424"/>
    <w:rsid w:val="0036593E"/>
    <w:rsid w:val="00365E22"/>
    <w:rsid w:val="003662E9"/>
    <w:rsid w:val="0036664C"/>
    <w:rsid w:val="003666CC"/>
    <w:rsid w:val="00366D70"/>
    <w:rsid w:val="0036708B"/>
    <w:rsid w:val="0036756D"/>
    <w:rsid w:val="00367972"/>
    <w:rsid w:val="00367FDF"/>
    <w:rsid w:val="003700D1"/>
    <w:rsid w:val="003702CC"/>
    <w:rsid w:val="003703FF"/>
    <w:rsid w:val="00370482"/>
    <w:rsid w:val="00370538"/>
    <w:rsid w:val="003707C1"/>
    <w:rsid w:val="0037094B"/>
    <w:rsid w:val="00370A99"/>
    <w:rsid w:val="00370F7A"/>
    <w:rsid w:val="00371922"/>
    <w:rsid w:val="00371AC5"/>
    <w:rsid w:val="00371CD2"/>
    <w:rsid w:val="00371E63"/>
    <w:rsid w:val="003720CF"/>
    <w:rsid w:val="003722B1"/>
    <w:rsid w:val="003723A1"/>
    <w:rsid w:val="00372850"/>
    <w:rsid w:val="003732DD"/>
    <w:rsid w:val="00373621"/>
    <w:rsid w:val="003736B1"/>
    <w:rsid w:val="00373A09"/>
    <w:rsid w:val="003740A4"/>
    <w:rsid w:val="00374CBB"/>
    <w:rsid w:val="00374CEE"/>
    <w:rsid w:val="00375330"/>
    <w:rsid w:val="003756C6"/>
    <w:rsid w:val="00376043"/>
    <w:rsid w:val="003760B5"/>
    <w:rsid w:val="003760D6"/>
    <w:rsid w:val="003767BC"/>
    <w:rsid w:val="00376812"/>
    <w:rsid w:val="0037685E"/>
    <w:rsid w:val="00376C02"/>
    <w:rsid w:val="003772E9"/>
    <w:rsid w:val="0037759C"/>
    <w:rsid w:val="003778C3"/>
    <w:rsid w:val="00377932"/>
    <w:rsid w:val="00377CE0"/>
    <w:rsid w:val="003808EB"/>
    <w:rsid w:val="00380EF3"/>
    <w:rsid w:val="00381823"/>
    <w:rsid w:val="00381B33"/>
    <w:rsid w:val="00381E91"/>
    <w:rsid w:val="00382460"/>
    <w:rsid w:val="00382644"/>
    <w:rsid w:val="00382AC0"/>
    <w:rsid w:val="00382D1E"/>
    <w:rsid w:val="0038306F"/>
    <w:rsid w:val="003833C0"/>
    <w:rsid w:val="00383589"/>
    <w:rsid w:val="00383783"/>
    <w:rsid w:val="0038402B"/>
    <w:rsid w:val="0038430D"/>
    <w:rsid w:val="00384825"/>
    <w:rsid w:val="00384FCE"/>
    <w:rsid w:val="00385449"/>
    <w:rsid w:val="0038547E"/>
    <w:rsid w:val="00385A5F"/>
    <w:rsid w:val="00385D15"/>
    <w:rsid w:val="00385DB6"/>
    <w:rsid w:val="00386028"/>
    <w:rsid w:val="003861F5"/>
    <w:rsid w:val="0038624E"/>
    <w:rsid w:val="0038647E"/>
    <w:rsid w:val="003865FA"/>
    <w:rsid w:val="003866F4"/>
    <w:rsid w:val="00386DF7"/>
    <w:rsid w:val="00386EB1"/>
    <w:rsid w:val="003870F2"/>
    <w:rsid w:val="00387E7A"/>
    <w:rsid w:val="00387F92"/>
    <w:rsid w:val="00390046"/>
    <w:rsid w:val="003900D9"/>
    <w:rsid w:val="00390296"/>
    <w:rsid w:val="00390463"/>
    <w:rsid w:val="00390745"/>
    <w:rsid w:val="0039081D"/>
    <w:rsid w:val="00390E01"/>
    <w:rsid w:val="00390F01"/>
    <w:rsid w:val="003911C7"/>
    <w:rsid w:val="00391363"/>
    <w:rsid w:val="00391500"/>
    <w:rsid w:val="00391A72"/>
    <w:rsid w:val="00391CF3"/>
    <w:rsid w:val="0039202F"/>
    <w:rsid w:val="003924E5"/>
    <w:rsid w:val="00393111"/>
    <w:rsid w:val="00393A3A"/>
    <w:rsid w:val="00394626"/>
    <w:rsid w:val="0039499E"/>
    <w:rsid w:val="00394E48"/>
    <w:rsid w:val="003951D6"/>
    <w:rsid w:val="0039541D"/>
    <w:rsid w:val="0039543A"/>
    <w:rsid w:val="00395450"/>
    <w:rsid w:val="00395A54"/>
    <w:rsid w:val="00395BDD"/>
    <w:rsid w:val="00395CCF"/>
    <w:rsid w:val="00396785"/>
    <w:rsid w:val="003968E2"/>
    <w:rsid w:val="00396AAF"/>
    <w:rsid w:val="00396C82"/>
    <w:rsid w:val="003977D0"/>
    <w:rsid w:val="00397878"/>
    <w:rsid w:val="003978A8"/>
    <w:rsid w:val="00397A0B"/>
    <w:rsid w:val="00397D82"/>
    <w:rsid w:val="00397DF3"/>
    <w:rsid w:val="00397F37"/>
    <w:rsid w:val="003A0843"/>
    <w:rsid w:val="003A0C75"/>
    <w:rsid w:val="003A11A8"/>
    <w:rsid w:val="003A13FD"/>
    <w:rsid w:val="003A152D"/>
    <w:rsid w:val="003A175F"/>
    <w:rsid w:val="003A1B35"/>
    <w:rsid w:val="003A20BB"/>
    <w:rsid w:val="003A2797"/>
    <w:rsid w:val="003A292A"/>
    <w:rsid w:val="003A2B36"/>
    <w:rsid w:val="003A2E1D"/>
    <w:rsid w:val="003A329B"/>
    <w:rsid w:val="003A397E"/>
    <w:rsid w:val="003A3B93"/>
    <w:rsid w:val="003A3C6F"/>
    <w:rsid w:val="003A3D24"/>
    <w:rsid w:val="003A4315"/>
    <w:rsid w:val="003A4384"/>
    <w:rsid w:val="003A47C0"/>
    <w:rsid w:val="003A542C"/>
    <w:rsid w:val="003A55B7"/>
    <w:rsid w:val="003A561B"/>
    <w:rsid w:val="003A6029"/>
    <w:rsid w:val="003A6497"/>
    <w:rsid w:val="003A6818"/>
    <w:rsid w:val="003A694A"/>
    <w:rsid w:val="003A6B34"/>
    <w:rsid w:val="003A6BF2"/>
    <w:rsid w:val="003A724D"/>
    <w:rsid w:val="003A729F"/>
    <w:rsid w:val="003A7438"/>
    <w:rsid w:val="003A74CA"/>
    <w:rsid w:val="003A7708"/>
    <w:rsid w:val="003A79E5"/>
    <w:rsid w:val="003A7A5B"/>
    <w:rsid w:val="003A7F33"/>
    <w:rsid w:val="003A7F9F"/>
    <w:rsid w:val="003B01CF"/>
    <w:rsid w:val="003B06FF"/>
    <w:rsid w:val="003B1D93"/>
    <w:rsid w:val="003B210B"/>
    <w:rsid w:val="003B2348"/>
    <w:rsid w:val="003B2437"/>
    <w:rsid w:val="003B2660"/>
    <w:rsid w:val="003B271F"/>
    <w:rsid w:val="003B32FB"/>
    <w:rsid w:val="003B3945"/>
    <w:rsid w:val="003B4323"/>
    <w:rsid w:val="003B451C"/>
    <w:rsid w:val="003B5230"/>
    <w:rsid w:val="003B52A7"/>
    <w:rsid w:val="003B59C9"/>
    <w:rsid w:val="003B5F27"/>
    <w:rsid w:val="003B6521"/>
    <w:rsid w:val="003B68B1"/>
    <w:rsid w:val="003B70CA"/>
    <w:rsid w:val="003B7355"/>
    <w:rsid w:val="003B73EB"/>
    <w:rsid w:val="003B7534"/>
    <w:rsid w:val="003B7CA4"/>
    <w:rsid w:val="003C068E"/>
    <w:rsid w:val="003C072B"/>
    <w:rsid w:val="003C0C1E"/>
    <w:rsid w:val="003C1117"/>
    <w:rsid w:val="003C1596"/>
    <w:rsid w:val="003C16A8"/>
    <w:rsid w:val="003C1BD3"/>
    <w:rsid w:val="003C1C81"/>
    <w:rsid w:val="003C1C96"/>
    <w:rsid w:val="003C1CC3"/>
    <w:rsid w:val="003C23F9"/>
    <w:rsid w:val="003C275B"/>
    <w:rsid w:val="003C2803"/>
    <w:rsid w:val="003C283B"/>
    <w:rsid w:val="003C2864"/>
    <w:rsid w:val="003C29B3"/>
    <w:rsid w:val="003C2CAE"/>
    <w:rsid w:val="003C3973"/>
    <w:rsid w:val="003C3A33"/>
    <w:rsid w:val="003C408A"/>
    <w:rsid w:val="003C46B6"/>
    <w:rsid w:val="003C4747"/>
    <w:rsid w:val="003C4755"/>
    <w:rsid w:val="003C530A"/>
    <w:rsid w:val="003C5320"/>
    <w:rsid w:val="003C53DD"/>
    <w:rsid w:val="003C5795"/>
    <w:rsid w:val="003C5DBE"/>
    <w:rsid w:val="003C5E93"/>
    <w:rsid w:val="003C5FEE"/>
    <w:rsid w:val="003C6081"/>
    <w:rsid w:val="003C64FE"/>
    <w:rsid w:val="003C6E38"/>
    <w:rsid w:val="003C74A1"/>
    <w:rsid w:val="003C75B1"/>
    <w:rsid w:val="003C7882"/>
    <w:rsid w:val="003C7BBC"/>
    <w:rsid w:val="003C7C1E"/>
    <w:rsid w:val="003D0192"/>
    <w:rsid w:val="003D065B"/>
    <w:rsid w:val="003D0784"/>
    <w:rsid w:val="003D0A2C"/>
    <w:rsid w:val="003D0F9C"/>
    <w:rsid w:val="003D1444"/>
    <w:rsid w:val="003D15DC"/>
    <w:rsid w:val="003D1C7F"/>
    <w:rsid w:val="003D20CC"/>
    <w:rsid w:val="003D228D"/>
    <w:rsid w:val="003D24A8"/>
    <w:rsid w:val="003D29E5"/>
    <w:rsid w:val="003D2E3F"/>
    <w:rsid w:val="003D318B"/>
    <w:rsid w:val="003D328D"/>
    <w:rsid w:val="003D33DC"/>
    <w:rsid w:val="003D3507"/>
    <w:rsid w:val="003D3529"/>
    <w:rsid w:val="003D3642"/>
    <w:rsid w:val="003D3A74"/>
    <w:rsid w:val="003D3B9D"/>
    <w:rsid w:val="003D3D41"/>
    <w:rsid w:val="003D3DF1"/>
    <w:rsid w:val="003D4363"/>
    <w:rsid w:val="003D45F6"/>
    <w:rsid w:val="003D4AC9"/>
    <w:rsid w:val="003D500C"/>
    <w:rsid w:val="003D548B"/>
    <w:rsid w:val="003D54D2"/>
    <w:rsid w:val="003D56D3"/>
    <w:rsid w:val="003D5C92"/>
    <w:rsid w:val="003D5D46"/>
    <w:rsid w:val="003D5EB2"/>
    <w:rsid w:val="003D5FCE"/>
    <w:rsid w:val="003D6454"/>
    <w:rsid w:val="003D6559"/>
    <w:rsid w:val="003D74A2"/>
    <w:rsid w:val="003D798E"/>
    <w:rsid w:val="003D7BF2"/>
    <w:rsid w:val="003D7F22"/>
    <w:rsid w:val="003D7F46"/>
    <w:rsid w:val="003E0281"/>
    <w:rsid w:val="003E03E0"/>
    <w:rsid w:val="003E04A4"/>
    <w:rsid w:val="003E0E08"/>
    <w:rsid w:val="003E10D5"/>
    <w:rsid w:val="003E1147"/>
    <w:rsid w:val="003E14A5"/>
    <w:rsid w:val="003E14C6"/>
    <w:rsid w:val="003E1702"/>
    <w:rsid w:val="003E1870"/>
    <w:rsid w:val="003E2219"/>
    <w:rsid w:val="003E2900"/>
    <w:rsid w:val="003E2A88"/>
    <w:rsid w:val="003E2B4C"/>
    <w:rsid w:val="003E35AB"/>
    <w:rsid w:val="003E3633"/>
    <w:rsid w:val="003E39F3"/>
    <w:rsid w:val="003E3B64"/>
    <w:rsid w:val="003E4025"/>
    <w:rsid w:val="003E4073"/>
    <w:rsid w:val="003E40F1"/>
    <w:rsid w:val="003E4247"/>
    <w:rsid w:val="003E4710"/>
    <w:rsid w:val="003E473B"/>
    <w:rsid w:val="003E4AF7"/>
    <w:rsid w:val="003E4DB1"/>
    <w:rsid w:val="003E5154"/>
    <w:rsid w:val="003E52DB"/>
    <w:rsid w:val="003E562E"/>
    <w:rsid w:val="003E56BE"/>
    <w:rsid w:val="003E570D"/>
    <w:rsid w:val="003E587D"/>
    <w:rsid w:val="003E58D1"/>
    <w:rsid w:val="003E58FE"/>
    <w:rsid w:val="003E5D2D"/>
    <w:rsid w:val="003E5DBF"/>
    <w:rsid w:val="003E5EE6"/>
    <w:rsid w:val="003E63F0"/>
    <w:rsid w:val="003E646D"/>
    <w:rsid w:val="003E6D19"/>
    <w:rsid w:val="003E6F2C"/>
    <w:rsid w:val="003E766D"/>
    <w:rsid w:val="003F026E"/>
    <w:rsid w:val="003F0427"/>
    <w:rsid w:val="003F16F4"/>
    <w:rsid w:val="003F19B3"/>
    <w:rsid w:val="003F21FC"/>
    <w:rsid w:val="003F2AC9"/>
    <w:rsid w:val="003F2DB1"/>
    <w:rsid w:val="003F3524"/>
    <w:rsid w:val="003F35BA"/>
    <w:rsid w:val="003F3A64"/>
    <w:rsid w:val="003F3EE6"/>
    <w:rsid w:val="003F3EF7"/>
    <w:rsid w:val="003F4132"/>
    <w:rsid w:val="003F4369"/>
    <w:rsid w:val="003F47E5"/>
    <w:rsid w:val="003F48E9"/>
    <w:rsid w:val="003F4AAF"/>
    <w:rsid w:val="003F4C93"/>
    <w:rsid w:val="003F5057"/>
    <w:rsid w:val="003F507B"/>
    <w:rsid w:val="003F583E"/>
    <w:rsid w:val="003F5B59"/>
    <w:rsid w:val="003F5E81"/>
    <w:rsid w:val="003F61B7"/>
    <w:rsid w:val="003F62AA"/>
    <w:rsid w:val="003F6606"/>
    <w:rsid w:val="003F660B"/>
    <w:rsid w:val="003F6E60"/>
    <w:rsid w:val="003F7553"/>
    <w:rsid w:val="003F78AC"/>
    <w:rsid w:val="0040008C"/>
    <w:rsid w:val="0040010A"/>
    <w:rsid w:val="0040018D"/>
    <w:rsid w:val="00400396"/>
    <w:rsid w:val="00400508"/>
    <w:rsid w:val="004005D3"/>
    <w:rsid w:val="00400670"/>
    <w:rsid w:val="004008EA"/>
    <w:rsid w:val="004009E2"/>
    <w:rsid w:val="00400B03"/>
    <w:rsid w:val="00400BB3"/>
    <w:rsid w:val="00400D56"/>
    <w:rsid w:val="00400EE1"/>
    <w:rsid w:val="00401726"/>
    <w:rsid w:val="004017CA"/>
    <w:rsid w:val="004019BE"/>
    <w:rsid w:val="00401B11"/>
    <w:rsid w:val="00401E40"/>
    <w:rsid w:val="00402EB0"/>
    <w:rsid w:val="00403271"/>
    <w:rsid w:val="004036B1"/>
    <w:rsid w:val="00404158"/>
    <w:rsid w:val="004044C2"/>
    <w:rsid w:val="004047B9"/>
    <w:rsid w:val="00404859"/>
    <w:rsid w:val="00404C19"/>
    <w:rsid w:val="00405C1A"/>
    <w:rsid w:val="00405C57"/>
    <w:rsid w:val="00405D95"/>
    <w:rsid w:val="00405F88"/>
    <w:rsid w:val="00405F89"/>
    <w:rsid w:val="004065CA"/>
    <w:rsid w:val="0040773D"/>
    <w:rsid w:val="00410154"/>
    <w:rsid w:val="0041072B"/>
    <w:rsid w:val="004108C6"/>
    <w:rsid w:val="00410E12"/>
    <w:rsid w:val="00410E39"/>
    <w:rsid w:val="00411145"/>
    <w:rsid w:val="0041147C"/>
    <w:rsid w:val="004115EA"/>
    <w:rsid w:val="00411680"/>
    <w:rsid w:val="00411D7C"/>
    <w:rsid w:val="00411E64"/>
    <w:rsid w:val="00412A02"/>
    <w:rsid w:val="00412B7D"/>
    <w:rsid w:val="00412F2D"/>
    <w:rsid w:val="00413813"/>
    <w:rsid w:val="00413B08"/>
    <w:rsid w:val="00414212"/>
    <w:rsid w:val="00414539"/>
    <w:rsid w:val="00414618"/>
    <w:rsid w:val="00414674"/>
    <w:rsid w:val="00415257"/>
    <w:rsid w:val="00415706"/>
    <w:rsid w:val="00415907"/>
    <w:rsid w:val="00415A25"/>
    <w:rsid w:val="00415EE4"/>
    <w:rsid w:val="00415F34"/>
    <w:rsid w:val="004160A1"/>
    <w:rsid w:val="004165C0"/>
    <w:rsid w:val="004168D0"/>
    <w:rsid w:val="00416D4B"/>
    <w:rsid w:val="00416FA1"/>
    <w:rsid w:val="0041744A"/>
    <w:rsid w:val="00417778"/>
    <w:rsid w:val="00417878"/>
    <w:rsid w:val="004178A7"/>
    <w:rsid w:val="00417B1E"/>
    <w:rsid w:val="004203BE"/>
    <w:rsid w:val="00420463"/>
    <w:rsid w:val="0042077B"/>
    <w:rsid w:val="004208C4"/>
    <w:rsid w:val="004209D9"/>
    <w:rsid w:val="004211F1"/>
    <w:rsid w:val="0042123A"/>
    <w:rsid w:val="00421859"/>
    <w:rsid w:val="004219EB"/>
    <w:rsid w:val="00421A2A"/>
    <w:rsid w:val="00421C4D"/>
    <w:rsid w:val="00422746"/>
    <w:rsid w:val="00422B73"/>
    <w:rsid w:val="00422D70"/>
    <w:rsid w:val="004233DA"/>
    <w:rsid w:val="0042346B"/>
    <w:rsid w:val="004237C4"/>
    <w:rsid w:val="00423B7B"/>
    <w:rsid w:val="00423EB7"/>
    <w:rsid w:val="004243DD"/>
    <w:rsid w:val="0042462A"/>
    <w:rsid w:val="00424D9A"/>
    <w:rsid w:val="00424EE2"/>
    <w:rsid w:val="00425A04"/>
    <w:rsid w:val="00426570"/>
    <w:rsid w:val="0042663C"/>
    <w:rsid w:val="004266EB"/>
    <w:rsid w:val="004268A2"/>
    <w:rsid w:val="00426E87"/>
    <w:rsid w:val="00426F28"/>
    <w:rsid w:val="00427386"/>
    <w:rsid w:val="004274BE"/>
    <w:rsid w:val="00427565"/>
    <w:rsid w:val="004275BE"/>
    <w:rsid w:val="00427F5B"/>
    <w:rsid w:val="00430034"/>
    <w:rsid w:val="00430252"/>
    <w:rsid w:val="004302D0"/>
    <w:rsid w:val="0043052E"/>
    <w:rsid w:val="00430630"/>
    <w:rsid w:val="004309EE"/>
    <w:rsid w:val="00430C73"/>
    <w:rsid w:val="00431057"/>
    <w:rsid w:val="004312BA"/>
    <w:rsid w:val="00431336"/>
    <w:rsid w:val="0043173B"/>
    <w:rsid w:val="00431DE8"/>
    <w:rsid w:val="004328DC"/>
    <w:rsid w:val="00432955"/>
    <w:rsid w:val="00432EA0"/>
    <w:rsid w:val="00433002"/>
    <w:rsid w:val="00433224"/>
    <w:rsid w:val="004332C6"/>
    <w:rsid w:val="00433338"/>
    <w:rsid w:val="004334F6"/>
    <w:rsid w:val="0043366C"/>
    <w:rsid w:val="004338FF"/>
    <w:rsid w:val="00433F28"/>
    <w:rsid w:val="00434104"/>
    <w:rsid w:val="00434115"/>
    <w:rsid w:val="00434453"/>
    <w:rsid w:val="004345C3"/>
    <w:rsid w:val="004347D1"/>
    <w:rsid w:val="00435094"/>
    <w:rsid w:val="00435559"/>
    <w:rsid w:val="00435BD1"/>
    <w:rsid w:val="0043615C"/>
    <w:rsid w:val="00436231"/>
    <w:rsid w:val="00436577"/>
    <w:rsid w:val="004366C2"/>
    <w:rsid w:val="00436716"/>
    <w:rsid w:val="00436905"/>
    <w:rsid w:val="00436960"/>
    <w:rsid w:val="00436B49"/>
    <w:rsid w:val="00436D1C"/>
    <w:rsid w:val="00436F6D"/>
    <w:rsid w:val="00436FE0"/>
    <w:rsid w:val="00437FF1"/>
    <w:rsid w:val="004400DE"/>
    <w:rsid w:val="0044057D"/>
    <w:rsid w:val="00440A80"/>
    <w:rsid w:val="00441145"/>
    <w:rsid w:val="00441188"/>
    <w:rsid w:val="00441260"/>
    <w:rsid w:val="00441664"/>
    <w:rsid w:val="00441AC8"/>
    <w:rsid w:val="004421B8"/>
    <w:rsid w:val="00442261"/>
    <w:rsid w:val="004431E9"/>
    <w:rsid w:val="00443C7C"/>
    <w:rsid w:val="00443D23"/>
    <w:rsid w:val="00444916"/>
    <w:rsid w:val="00444B45"/>
    <w:rsid w:val="00444B9F"/>
    <w:rsid w:val="00444DC0"/>
    <w:rsid w:val="00444E2B"/>
    <w:rsid w:val="00444E5B"/>
    <w:rsid w:val="00444F4A"/>
    <w:rsid w:val="004453D2"/>
    <w:rsid w:val="0044560D"/>
    <w:rsid w:val="004457C9"/>
    <w:rsid w:val="004459FF"/>
    <w:rsid w:val="00445A4E"/>
    <w:rsid w:val="00445B33"/>
    <w:rsid w:val="00445CFA"/>
    <w:rsid w:val="00445E48"/>
    <w:rsid w:val="004465A0"/>
    <w:rsid w:val="00447128"/>
    <w:rsid w:val="0044742D"/>
    <w:rsid w:val="00447D35"/>
    <w:rsid w:val="0045012D"/>
    <w:rsid w:val="0045030B"/>
    <w:rsid w:val="00450360"/>
    <w:rsid w:val="0045054C"/>
    <w:rsid w:val="004506AF"/>
    <w:rsid w:val="00450C19"/>
    <w:rsid w:val="004510E2"/>
    <w:rsid w:val="004513DA"/>
    <w:rsid w:val="00451D26"/>
    <w:rsid w:val="00452019"/>
    <w:rsid w:val="00452063"/>
    <w:rsid w:val="004520B9"/>
    <w:rsid w:val="004524D4"/>
    <w:rsid w:val="00452605"/>
    <w:rsid w:val="0045284C"/>
    <w:rsid w:val="00452DA9"/>
    <w:rsid w:val="00452EA6"/>
    <w:rsid w:val="00453402"/>
    <w:rsid w:val="004540DE"/>
    <w:rsid w:val="00454512"/>
    <w:rsid w:val="00454548"/>
    <w:rsid w:val="00454732"/>
    <w:rsid w:val="004549A8"/>
    <w:rsid w:val="004549AA"/>
    <w:rsid w:val="00454E97"/>
    <w:rsid w:val="00455977"/>
    <w:rsid w:val="00455A1A"/>
    <w:rsid w:val="00455AE9"/>
    <w:rsid w:val="00456785"/>
    <w:rsid w:val="00456A72"/>
    <w:rsid w:val="00456D96"/>
    <w:rsid w:val="0045715A"/>
    <w:rsid w:val="00457265"/>
    <w:rsid w:val="00457418"/>
    <w:rsid w:val="00457515"/>
    <w:rsid w:val="00457592"/>
    <w:rsid w:val="00457E1B"/>
    <w:rsid w:val="00460342"/>
    <w:rsid w:val="0046043D"/>
    <w:rsid w:val="004604E8"/>
    <w:rsid w:val="004608F9"/>
    <w:rsid w:val="00460A01"/>
    <w:rsid w:val="00460A4C"/>
    <w:rsid w:val="00461856"/>
    <w:rsid w:val="00461F73"/>
    <w:rsid w:val="00462ABE"/>
    <w:rsid w:val="00462C07"/>
    <w:rsid w:val="00462D1E"/>
    <w:rsid w:val="00462D26"/>
    <w:rsid w:val="00462DC3"/>
    <w:rsid w:val="00462E26"/>
    <w:rsid w:val="00462E5E"/>
    <w:rsid w:val="00463194"/>
    <w:rsid w:val="00463664"/>
    <w:rsid w:val="0046428C"/>
    <w:rsid w:val="004646F7"/>
    <w:rsid w:val="00465834"/>
    <w:rsid w:val="004660D0"/>
    <w:rsid w:val="00466498"/>
    <w:rsid w:val="004664C7"/>
    <w:rsid w:val="00466626"/>
    <w:rsid w:val="00466989"/>
    <w:rsid w:val="00466AE9"/>
    <w:rsid w:val="00466BF2"/>
    <w:rsid w:val="00466D86"/>
    <w:rsid w:val="00467151"/>
    <w:rsid w:val="00467280"/>
    <w:rsid w:val="0046746F"/>
    <w:rsid w:val="00467CB0"/>
    <w:rsid w:val="00467E71"/>
    <w:rsid w:val="00467F3D"/>
    <w:rsid w:val="0047007B"/>
    <w:rsid w:val="004704F5"/>
    <w:rsid w:val="00470A23"/>
    <w:rsid w:val="0047110B"/>
    <w:rsid w:val="00471533"/>
    <w:rsid w:val="00471540"/>
    <w:rsid w:val="0047158B"/>
    <w:rsid w:val="00471ED9"/>
    <w:rsid w:val="00472356"/>
    <w:rsid w:val="00472D7A"/>
    <w:rsid w:val="00473012"/>
    <w:rsid w:val="0047301F"/>
    <w:rsid w:val="004730C3"/>
    <w:rsid w:val="004735D5"/>
    <w:rsid w:val="004737D4"/>
    <w:rsid w:val="00473A1A"/>
    <w:rsid w:val="004747D2"/>
    <w:rsid w:val="00474B8A"/>
    <w:rsid w:val="00474E75"/>
    <w:rsid w:val="00474EC0"/>
    <w:rsid w:val="0047502D"/>
    <w:rsid w:val="004755BE"/>
    <w:rsid w:val="00475646"/>
    <w:rsid w:val="00475873"/>
    <w:rsid w:val="004767BA"/>
    <w:rsid w:val="00476906"/>
    <w:rsid w:val="00477036"/>
    <w:rsid w:val="00477391"/>
    <w:rsid w:val="004775C0"/>
    <w:rsid w:val="0047793F"/>
    <w:rsid w:val="004779D6"/>
    <w:rsid w:val="00477FC8"/>
    <w:rsid w:val="00480F16"/>
    <w:rsid w:val="004815C4"/>
    <w:rsid w:val="004815F9"/>
    <w:rsid w:val="0048182F"/>
    <w:rsid w:val="00481945"/>
    <w:rsid w:val="00481A48"/>
    <w:rsid w:val="004820A6"/>
    <w:rsid w:val="004823F4"/>
    <w:rsid w:val="004826B3"/>
    <w:rsid w:val="00483972"/>
    <w:rsid w:val="00483A0E"/>
    <w:rsid w:val="00483AD1"/>
    <w:rsid w:val="00483CCD"/>
    <w:rsid w:val="00483D55"/>
    <w:rsid w:val="00483F40"/>
    <w:rsid w:val="00484080"/>
    <w:rsid w:val="004840F9"/>
    <w:rsid w:val="0048430F"/>
    <w:rsid w:val="004848CC"/>
    <w:rsid w:val="00484A05"/>
    <w:rsid w:val="00484CB1"/>
    <w:rsid w:val="00484CF4"/>
    <w:rsid w:val="00484E66"/>
    <w:rsid w:val="00485506"/>
    <w:rsid w:val="00485518"/>
    <w:rsid w:val="0048554E"/>
    <w:rsid w:val="0048594C"/>
    <w:rsid w:val="00485A85"/>
    <w:rsid w:val="00486225"/>
    <w:rsid w:val="004864BE"/>
    <w:rsid w:val="004865DA"/>
    <w:rsid w:val="0048675C"/>
    <w:rsid w:val="0048683C"/>
    <w:rsid w:val="004868D5"/>
    <w:rsid w:val="00487060"/>
    <w:rsid w:val="00487449"/>
    <w:rsid w:val="004878C6"/>
    <w:rsid w:val="004878C7"/>
    <w:rsid w:val="004901B5"/>
    <w:rsid w:val="00490430"/>
    <w:rsid w:val="00490490"/>
    <w:rsid w:val="00490995"/>
    <w:rsid w:val="0049203C"/>
    <w:rsid w:val="0049246B"/>
    <w:rsid w:val="004928EE"/>
    <w:rsid w:val="00492DBD"/>
    <w:rsid w:val="00492E7D"/>
    <w:rsid w:val="0049302A"/>
    <w:rsid w:val="004936FA"/>
    <w:rsid w:val="00493CE3"/>
    <w:rsid w:val="004943AD"/>
    <w:rsid w:val="00494437"/>
    <w:rsid w:val="0049490B"/>
    <w:rsid w:val="00494E08"/>
    <w:rsid w:val="0049514D"/>
    <w:rsid w:val="00495293"/>
    <w:rsid w:val="0049545E"/>
    <w:rsid w:val="004955DE"/>
    <w:rsid w:val="004959FE"/>
    <w:rsid w:val="00496926"/>
    <w:rsid w:val="00496CD2"/>
    <w:rsid w:val="00496E53"/>
    <w:rsid w:val="00496FDD"/>
    <w:rsid w:val="00496FED"/>
    <w:rsid w:val="0049706C"/>
    <w:rsid w:val="004971D2"/>
    <w:rsid w:val="0049774A"/>
    <w:rsid w:val="004978A5"/>
    <w:rsid w:val="00497942"/>
    <w:rsid w:val="00497B39"/>
    <w:rsid w:val="00497B51"/>
    <w:rsid w:val="004A0584"/>
    <w:rsid w:val="004A0A2C"/>
    <w:rsid w:val="004A0CC2"/>
    <w:rsid w:val="004A0FB9"/>
    <w:rsid w:val="004A13D7"/>
    <w:rsid w:val="004A15A3"/>
    <w:rsid w:val="004A19AB"/>
    <w:rsid w:val="004A1B6B"/>
    <w:rsid w:val="004A1E86"/>
    <w:rsid w:val="004A1E8C"/>
    <w:rsid w:val="004A21D3"/>
    <w:rsid w:val="004A2289"/>
    <w:rsid w:val="004A25F9"/>
    <w:rsid w:val="004A274B"/>
    <w:rsid w:val="004A280D"/>
    <w:rsid w:val="004A287E"/>
    <w:rsid w:val="004A29EB"/>
    <w:rsid w:val="004A2F12"/>
    <w:rsid w:val="004A3A56"/>
    <w:rsid w:val="004A3E1D"/>
    <w:rsid w:val="004A3E33"/>
    <w:rsid w:val="004A400C"/>
    <w:rsid w:val="004A4273"/>
    <w:rsid w:val="004A444B"/>
    <w:rsid w:val="004A4580"/>
    <w:rsid w:val="004A47C7"/>
    <w:rsid w:val="004A4ED8"/>
    <w:rsid w:val="004A5287"/>
    <w:rsid w:val="004A53F5"/>
    <w:rsid w:val="004A57BF"/>
    <w:rsid w:val="004A5920"/>
    <w:rsid w:val="004A5C44"/>
    <w:rsid w:val="004A5FFD"/>
    <w:rsid w:val="004A6E84"/>
    <w:rsid w:val="004A6F6F"/>
    <w:rsid w:val="004A7227"/>
    <w:rsid w:val="004A783D"/>
    <w:rsid w:val="004A7883"/>
    <w:rsid w:val="004A7D9B"/>
    <w:rsid w:val="004B00E0"/>
    <w:rsid w:val="004B0CBE"/>
    <w:rsid w:val="004B0D45"/>
    <w:rsid w:val="004B0F27"/>
    <w:rsid w:val="004B18C5"/>
    <w:rsid w:val="004B2759"/>
    <w:rsid w:val="004B2915"/>
    <w:rsid w:val="004B2A22"/>
    <w:rsid w:val="004B2CD0"/>
    <w:rsid w:val="004B2DAF"/>
    <w:rsid w:val="004B2E7A"/>
    <w:rsid w:val="004B3174"/>
    <w:rsid w:val="004B325A"/>
    <w:rsid w:val="004B32EA"/>
    <w:rsid w:val="004B33F2"/>
    <w:rsid w:val="004B3754"/>
    <w:rsid w:val="004B427F"/>
    <w:rsid w:val="004B463D"/>
    <w:rsid w:val="004B465C"/>
    <w:rsid w:val="004B48B9"/>
    <w:rsid w:val="004B4AA8"/>
    <w:rsid w:val="004B4BA8"/>
    <w:rsid w:val="004B58D4"/>
    <w:rsid w:val="004B68B3"/>
    <w:rsid w:val="004B6B74"/>
    <w:rsid w:val="004B6DFF"/>
    <w:rsid w:val="004B6F9B"/>
    <w:rsid w:val="004B7169"/>
    <w:rsid w:val="004B77AA"/>
    <w:rsid w:val="004B7C66"/>
    <w:rsid w:val="004B7FC0"/>
    <w:rsid w:val="004C0594"/>
    <w:rsid w:val="004C0B19"/>
    <w:rsid w:val="004C1192"/>
    <w:rsid w:val="004C1A8A"/>
    <w:rsid w:val="004C2704"/>
    <w:rsid w:val="004C2812"/>
    <w:rsid w:val="004C3271"/>
    <w:rsid w:val="004C401F"/>
    <w:rsid w:val="004C4093"/>
    <w:rsid w:val="004C44CC"/>
    <w:rsid w:val="004C4BFE"/>
    <w:rsid w:val="004C4FC9"/>
    <w:rsid w:val="004C5136"/>
    <w:rsid w:val="004C5280"/>
    <w:rsid w:val="004C54D4"/>
    <w:rsid w:val="004C5D5D"/>
    <w:rsid w:val="004C600C"/>
    <w:rsid w:val="004C60FE"/>
    <w:rsid w:val="004C6191"/>
    <w:rsid w:val="004C6F62"/>
    <w:rsid w:val="004C7076"/>
    <w:rsid w:val="004C71CB"/>
    <w:rsid w:val="004C77A5"/>
    <w:rsid w:val="004C7A4A"/>
    <w:rsid w:val="004C7C09"/>
    <w:rsid w:val="004D00AD"/>
    <w:rsid w:val="004D02AB"/>
    <w:rsid w:val="004D0390"/>
    <w:rsid w:val="004D04E0"/>
    <w:rsid w:val="004D05A0"/>
    <w:rsid w:val="004D05A7"/>
    <w:rsid w:val="004D0728"/>
    <w:rsid w:val="004D08EF"/>
    <w:rsid w:val="004D0CEB"/>
    <w:rsid w:val="004D1410"/>
    <w:rsid w:val="004D152A"/>
    <w:rsid w:val="004D17AD"/>
    <w:rsid w:val="004D1C0F"/>
    <w:rsid w:val="004D1DB2"/>
    <w:rsid w:val="004D1E1D"/>
    <w:rsid w:val="004D21B8"/>
    <w:rsid w:val="004D25B0"/>
    <w:rsid w:val="004D26B0"/>
    <w:rsid w:val="004D2790"/>
    <w:rsid w:val="004D2DC9"/>
    <w:rsid w:val="004D3359"/>
    <w:rsid w:val="004D3CA4"/>
    <w:rsid w:val="004D3D3C"/>
    <w:rsid w:val="004D408F"/>
    <w:rsid w:val="004D43A6"/>
    <w:rsid w:val="004D4CEB"/>
    <w:rsid w:val="004D4D9A"/>
    <w:rsid w:val="004D5027"/>
    <w:rsid w:val="004D5411"/>
    <w:rsid w:val="004D5801"/>
    <w:rsid w:val="004D5B26"/>
    <w:rsid w:val="004D5C76"/>
    <w:rsid w:val="004D5D62"/>
    <w:rsid w:val="004D6307"/>
    <w:rsid w:val="004D6535"/>
    <w:rsid w:val="004D6548"/>
    <w:rsid w:val="004D65EA"/>
    <w:rsid w:val="004D69E6"/>
    <w:rsid w:val="004D6B83"/>
    <w:rsid w:val="004D6BBA"/>
    <w:rsid w:val="004D6C3D"/>
    <w:rsid w:val="004D6CFD"/>
    <w:rsid w:val="004D6DD2"/>
    <w:rsid w:val="004D6DED"/>
    <w:rsid w:val="004D6FB9"/>
    <w:rsid w:val="004D713A"/>
    <w:rsid w:val="004D71D6"/>
    <w:rsid w:val="004D7802"/>
    <w:rsid w:val="004D7896"/>
    <w:rsid w:val="004E0568"/>
    <w:rsid w:val="004E05A3"/>
    <w:rsid w:val="004E0B22"/>
    <w:rsid w:val="004E0B41"/>
    <w:rsid w:val="004E0F1B"/>
    <w:rsid w:val="004E133D"/>
    <w:rsid w:val="004E16E9"/>
    <w:rsid w:val="004E18F8"/>
    <w:rsid w:val="004E1C94"/>
    <w:rsid w:val="004E1FEA"/>
    <w:rsid w:val="004E2026"/>
    <w:rsid w:val="004E2362"/>
    <w:rsid w:val="004E2723"/>
    <w:rsid w:val="004E2744"/>
    <w:rsid w:val="004E2FEC"/>
    <w:rsid w:val="004E3AF5"/>
    <w:rsid w:val="004E3D6D"/>
    <w:rsid w:val="004E3DA1"/>
    <w:rsid w:val="004E3E0D"/>
    <w:rsid w:val="004E4247"/>
    <w:rsid w:val="004E491D"/>
    <w:rsid w:val="004E4C5D"/>
    <w:rsid w:val="004E4CC5"/>
    <w:rsid w:val="004E5023"/>
    <w:rsid w:val="004E5203"/>
    <w:rsid w:val="004E53E5"/>
    <w:rsid w:val="004E55D8"/>
    <w:rsid w:val="004E5A33"/>
    <w:rsid w:val="004E5F42"/>
    <w:rsid w:val="004E6322"/>
    <w:rsid w:val="004E75D4"/>
    <w:rsid w:val="004E7C7D"/>
    <w:rsid w:val="004E7FC4"/>
    <w:rsid w:val="004F0628"/>
    <w:rsid w:val="004F0639"/>
    <w:rsid w:val="004F0A10"/>
    <w:rsid w:val="004F0A6D"/>
    <w:rsid w:val="004F0B6D"/>
    <w:rsid w:val="004F17A3"/>
    <w:rsid w:val="004F1D7D"/>
    <w:rsid w:val="004F1D98"/>
    <w:rsid w:val="004F2010"/>
    <w:rsid w:val="004F223D"/>
    <w:rsid w:val="004F2325"/>
    <w:rsid w:val="004F23A8"/>
    <w:rsid w:val="004F245E"/>
    <w:rsid w:val="004F26D7"/>
    <w:rsid w:val="004F27F0"/>
    <w:rsid w:val="004F299C"/>
    <w:rsid w:val="004F2ABF"/>
    <w:rsid w:val="004F2B09"/>
    <w:rsid w:val="004F2D36"/>
    <w:rsid w:val="004F32D2"/>
    <w:rsid w:val="004F345B"/>
    <w:rsid w:val="004F4345"/>
    <w:rsid w:val="004F47A0"/>
    <w:rsid w:val="004F47CB"/>
    <w:rsid w:val="004F4868"/>
    <w:rsid w:val="004F4EF3"/>
    <w:rsid w:val="004F5285"/>
    <w:rsid w:val="004F572F"/>
    <w:rsid w:val="004F5BE3"/>
    <w:rsid w:val="004F6570"/>
    <w:rsid w:val="004F6BC6"/>
    <w:rsid w:val="004F70BC"/>
    <w:rsid w:val="004F7598"/>
    <w:rsid w:val="004F75ED"/>
    <w:rsid w:val="004F796F"/>
    <w:rsid w:val="004F79AB"/>
    <w:rsid w:val="004F7E08"/>
    <w:rsid w:val="00500686"/>
    <w:rsid w:val="0050118C"/>
    <w:rsid w:val="005013A6"/>
    <w:rsid w:val="005013E5"/>
    <w:rsid w:val="005014FD"/>
    <w:rsid w:val="0050152E"/>
    <w:rsid w:val="00501FCF"/>
    <w:rsid w:val="005020C9"/>
    <w:rsid w:val="00502205"/>
    <w:rsid w:val="0050226D"/>
    <w:rsid w:val="005023F9"/>
    <w:rsid w:val="00502476"/>
    <w:rsid w:val="00502A51"/>
    <w:rsid w:val="00503706"/>
    <w:rsid w:val="005037A9"/>
    <w:rsid w:val="0050390F"/>
    <w:rsid w:val="005039E7"/>
    <w:rsid w:val="00503B11"/>
    <w:rsid w:val="00503B99"/>
    <w:rsid w:val="00503C7A"/>
    <w:rsid w:val="00503C80"/>
    <w:rsid w:val="00504A69"/>
    <w:rsid w:val="005051BE"/>
    <w:rsid w:val="0050558D"/>
    <w:rsid w:val="00505607"/>
    <w:rsid w:val="00505679"/>
    <w:rsid w:val="005057B9"/>
    <w:rsid w:val="00505D4C"/>
    <w:rsid w:val="00505E14"/>
    <w:rsid w:val="00506228"/>
    <w:rsid w:val="00506358"/>
    <w:rsid w:val="005066E6"/>
    <w:rsid w:val="00506769"/>
    <w:rsid w:val="00506AE9"/>
    <w:rsid w:val="00506E8D"/>
    <w:rsid w:val="00506EA5"/>
    <w:rsid w:val="00506EC5"/>
    <w:rsid w:val="00506EE0"/>
    <w:rsid w:val="005076F2"/>
    <w:rsid w:val="00507A54"/>
    <w:rsid w:val="00507B1A"/>
    <w:rsid w:val="005102EE"/>
    <w:rsid w:val="005104FB"/>
    <w:rsid w:val="005107C3"/>
    <w:rsid w:val="00510B2C"/>
    <w:rsid w:val="00510F7E"/>
    <w:rsid w:val="0051120C"/>
    <w:rsid w:val="005116F6"/>
    <w:rsid w:val="00511EF2"/>
    <w:rsid w:val="00511F3D"/>
    <w:rsid w:val="0051229E"/>
    <w:rsid w:val="00512B92"/>
    <w:rsid w:val="00512EA1"/>
    <w:rsid w:val="00513C5A"/>
    <w:rsid w:val="005143AB"/>
    <w:rsid w:val="00514659"/>
    <w:rsid w:val="00514991"/>
    <w:rsid w:val="00514B00"/>
    <w:rsid w:val="00514D96"/>
    <w:rsid w:val="00515A7D"/>
    <w:rsid w:val="00516132"/>
    <w:rsid w:val="00516973"/>
    <w:rsid w:val="00516C48"/>
    <w:rsid w:val="00516EE8"/>
    <w:rsid w:val="00517943"/>
    <w:rsid w:val="00517953"/>
    <w:rsid w:val="00520000"/>
    <w:rsid w:val="005201AC"/>
    <w:rsid w:val="005204B3"/>
    <w:rsid w:val="0052057E"/>
    <w:rsid w:val="00520C07"/>
    <w:rsid w:val="005216F3"/>
    <w:rsid w:val="005217B9"/>
    <w:rsid w:val="005218AA"/>
    <w:rsid w:val="00521C6D"/>
    <w:rsid w:val="00521C74"/>
    <w:rsid w:val="005220A4"/>
    <w:rsid w:val="00522330"/>
    <w:rsid w:val="0052259B"/>
    <w:rsid w:val="005225D1"/>
    <w:rsid w:val="005228B0"/>
    <w:rsid w:val="00523361"/>
    <w:rsid w:val="00523630"/>
    <w:rsid w:val="005239C3"/>
    <w:rsid w:val="00524271"/>
    <w:rsid w:val="00524758"/>
    <w:rsid w:val="005249AA"/>
    <w:rsid w:val="00525BAE"/>
    <w:rsid w:val="00525DFB"/>
    <w:rsid w:val="00525E70"/>
    <w:rsid w:val="00525FEA"/>
    <w:rsid w:val="0052617D"/>
    <w:rsid w:val="00526592"/>
    <w:rsid w:val="0052662D"/>
    <w:rsid w:val="00526781"/>
    <w:rsid w:val="00526A84"/>
    <w:rsid w:val="00526BD7"/>
    <w:rsid w:val="00526CF0"/>
    <w:rsid w:val="00526FB1"/>
    <w:rsid w:val="00527645"/>
    <w:rsid w:val="0052799E"/>
    <w:rsid w:val="00527A0A"/>
    <w:rsid w:val="00527B02"/>
    <w:rsid w:val="00527EFB"/>
    <w:rsid w:val="00527F83"/>
    <w:rsid w:val="005300D4"/>
    <w:rsid w:val="005306C1"/>
    <w:rsid w:val="005309CE"/>
    <w:rsid w:val="00530CAC"/>
    <w:rsid w:val="00530CE2"/>
    <w:rsid w:val="00530D4D"/>
    <w:rsid w:val="00530D97"/>
    <w:rsid w:val="00530DB0"/>
    <w:rsid w:val="00531097"/>
    <w:rsid w:val="00531479"/>
    <w:rsid w:val="00531FE0"/>
    <w:rsid w:val="00532409"/>
    <w:rsid w:val="0053264A"/>
    <w:rsid w:val="005327D5"/>
    <w:rsid w:val="00532C75"/>
    <w:rsid w:val="0053302E"/>
    <w:rsid w:val="00533308"/>
    <w:rsid w:val="00533F56"/>
    <w:rsid w:val="005344B7"/>
    <w:rsid w:val="005345FA"/>
    <w:rsid w:val="005358AB"/>
    <w:rsid w:val="005358F4"/>
    <w:rsid w:val="00535C3E"/>
    <w:rsid w:val="005361CA"/>
    <w:rsid w:val="00536C71"/>
    <w:rsid w:val="00536CAE"/>
    <w:rsid w:val="00536CB8"/>
    <w:rsid w:val="00536DF2"/>
    <w:rsid w:val="00537422"/>
    <w:rsid w:val="005377AE"/>
    <w:rsid w:val="00537832"/>
    <w:rsid w:val="005402F0"/>
    <w:rsid w:val="00540334"/>
    <w:rsid w:val="005407D3"/>
    <w:rsid w:val="00540BC7"/>
    <w:rsid w:val="005410B9"/>
    <w:rsid w:val="00541306"/>
    <w:rsid w:val="00541689"/>
    <w:rsid w:val="005416ED"/>
    <w:rsid w:val="00542220"/>
    <w:rsid w:val="005422EE"/>
    <w:rsid w:val="00542341"/>
    <w:rsid w:val="00542446"/>
    <w:rsid w:val="0054267F"/>
    <w:rsid w:val="0054287D"/>
    <w:rsid w:val="00543464"/>
    <w:rsid w:val="005436A4"/>
    <w:rsid w:val="00543905"/>
    <w:rsid w:val="00543999"/>
    <w:rsid w:val="005440D0"/>
    <w:rsid w:val="005444EB"/>
    <w:rsid w:val="00544646"/>
    <w:rsid w:val="00544681"/>
    <w:rsid w:val="00544748"/>
    <w:rsid w:val="0054491D"/>
    <w:rsid w:val="00545003"/>
    <w:rsid w:val="005453DD"/>
    <w:rsid w:val="00545511"/>
    <w:rsid w:val="0054616F"/>
    <w:rsid w:val="00546413"/>
    <w:rsid w:val="00546D43"/>
    <w:rsid w:val="00546EF7"/>
    <w:rsid w:val="0054704B"/>
    <w:rsid w:val="00547051"/>
    <w:rsid w:val="005474E3"/>
    <w:rsid w:val="00547E21"/>
    <w:rsid w:val="00550265"/>
    <w:rsid w:val="005504F2"/>
    <w:rsid w:val="0055059E"/>
    <w:rsid w:val="005505D9"/>
    <w:rsid w:val="00550CD7"/>
    <w:rsid w:val="00550E78"/>
    <w:rsid w:val="0055104E"/>
    <w:rsid w:val="005511E2"/>
    <w:rsid w:val="005514A7"/>
    <w:rsid w:val="0055166F"/>
    <w:rsid w:val="00551C22"/>
    <w:rsid w:val="00551D64"/>
    <w:rsid w:val="00551DEC"/>
    <w:rsid w:val="00552426"/>
    <w:rsid w:val="00552524"/>
    <w:rsid w:val="00552C27"/>
    <w:rsid w:val="00552FE1"/>
    <w:rsid w:val="005537E1"/>
    <w:rsid w:val="00553865"/>
    <w:rsid w:val="005539BF"/>
    <w:rsid w:val="00553F16"/>
    <w:rsid w:val="00554357"/>
    <w:rsid w:val="00554708"/>
    <w:rsid w:val="00554869"/>
    <w:rsid w:val="00554B5D"/>
    <w:rsid w:val="00554BF4"/>
    <w:rsid w:val="00554DA4"/>
    <w:rsid w:val="005551A9"/>
    <w:rsid w:val="00555557"/>
    <w:rsid w:val="00555B04"/>
    <w:rsid w:val="00556277"/>
    <w:rsid w:val="0055694D"/>
    <w:rsid w:val="00556C2B"/>
    <w:rsid w:val="00556EB8"/>
    <w:rsid w:val="005577A4"/>
    <w:rsid w:val="005577B1"/>
    <w:rsid w:val="005577BC"/>
    <w:rsid w:val="005577F8"/>
    <w:rsid w:val="005578CB"/>
    <w:rsid w:val="00557C22"/>
    <w:rsid w:val="00557FD5"/>
    <w:rsid w:val="00560298"/>
    <w:rsid w:val="00560B57"/>
    <w:rsid w:val="00560D57"/>
    <w:rsid w:val="00561DA2"/>
    <w:rsid w:val="00561FE5"/>
    <w:rsid w:val="005622EE"/>
    <w:rsid w:val="00562CA7"/>
    <w:rsid w:val="00562F4B"/>
    <w:rsid w:val="00562FCD"/>
    <w:rsid w:val="005632AD"/>
    <w:rsid w:val="00563600"/>
    <w:rsid w:val="0056380B"/>
    <w:rsid w:val="00563C3F"/>
    <w:rsid w:val="00563C92"/>
    <w:rsid w:val="0056448A"/>
    <w:rsid w:val="005645C6"/>
    <w:rsid w:val="00564A16"/>
    <w:rsid w:val="00564DB8"/>
    <w:rsid w:val="00564FD7"/>
    <w:rsid w:val="0056501A"/>
    <w:rsid w:val="00565297"/>
    <w:rsid w:val="00565299"/>
    <w:rsid w:val="00565789"/>
    <w:rsid w:val="00565DA6"/>
    <w:rsid w:val="00565F4D"/>
    <w:rsid w:val="005662A6"/>
    <w:rsid w:val="0056646A"/>
    <w:rsid w:val="00566C65"/>
    <w:rsid w:val="005673E6"/>
    <w:rsid w:val="005674C5"/>
    <w:rsid w:val="00567529"/>
    <w:rsid w:val="00567598"/>
    <w:rsid w:val="00567742"/>
    <w:rsid w:val="00567BEC"/>
    <w:rsid w:val="00570065"/>
    <w:rsid w:val="0057070A"/>
    <w:rsid w:val="00570819"/>
    <w:rsid w:val="005708ED"/>
    <w:rsid w:val="00570FDF"/>
    <w:rsid w:val="00570FF9"/>
    <w:rsid w:val="0057187F"/>
    <w:rsid w:val="00571D65"/>
    <w:rsid w:val="005723C7"/>
    <w:rsid w:val="005726E2"/>
    <w:rsid w:val="0057284F"/>
    <w:rsid w:val="005728F3"/>
    <w:rsid w:val="005731D7"/>
    <w:rsid w:val="00573216"/>
    <w:rsid w:val="0057329D"/>
    <w:rsid w:val="0057371C"/>
    <w:rsid w:val="00573B24"/>
    <w:rsid w:val="00573BDF"/>
    <w:rsid w:val="00573EF2"/>
    <w:rsid w:val="005743CD"/>
    <w:rsid w:val="00574927"/>
    <w:rsid w:val="00575A1D"/>
    <w:rsid w:val="005760C6"/>
    <w:rsid w:val="005760E1"/>
    <w:rsid w:val="005761D5"/>
    <w:rsid w:val="005766E3"/>
    <w:rsid w:val="00576CA2"/>
    <w:rsid w:val="00576E60"/>
    <w:rsid w:val="00577861"/>
    <w:rsid w:val="00577BD1"/>
    <w:rsid w:val="00577C6E"/>
    <w:rsid w:val="00577FDF"/>
    <w:rsid w:val="00580FA8"/>
    <w:rsid w:val="005811AD"/>
    <w:rsid w:val="0058150E"/>
    <w:rsid w:val="00581C45"/>
    <w:rsid w:val="00581F80"/>
    <w:rsid w:val="00582B75"/>
    <w:rsid w:val="00582CA8"/>
    <w:rsid w:val="00582E14"/>
    <w:rsid w:val="00582E33"/>
    <w:rsid w:val="00583626"/>
    <w:rsid w:val="005838EF"/>
    <w:rsid w:val="005844CA"/>
    <w:rsid w:val="00584665"/>
    <w:rsid w:val="00584DCA"/>
    <w:rsid w:val="00584DF3"/>
    <w:rsid w:val="00584F1D"/>
    <w:rsid w:val="00585108"/>
    <w:rsid w:val="005853B4"/>
    <w:rsid w:val="005853D4"/>
    <w:rsid w:val="005859D8"/>
    <w:rsid w:val="00586F19"/>
    <w:rsid w:val="005876BE"/>
    <w:rsid w:val="00587C0B"/>
    <w:rsid w:val="00587C19"/>
    <w:rsid w:val="00587E84"/>
    <w:rsid w:val="00590012"/>
    <w:rsid w:val="00590250"/>
    <w:rsid w:val="005904D7"/>
    <w:rsid w:val="00591087"/>
    <w:rsid w:val="005916DB"/>
    <w:rsid w:val="00591779"/>
    <w:rsid w:val="0059201A"/>
    <w:rsid w:val="0059211A"/>
    <w:rsid w:val="005924BF"/>
    <w:rsid w:val="005926DF"/>
    <w:rsid w:val="00593053"/>
    <w:rsid w:val="00593D68"/>
    <w:rsid w:val="00593E32"/>
    <w:rsid w:val="005940A5"/>
    <w:rsid w:val="0059452C"/>
    <w:rsid w:val="00595B4D"/>
    <w:rsid w:val="00595EF1"/>
    <w:rsid w:val="00596279"/>
    <w:rsid w:val="005962DE"/>
    <w:rsid w:val="00596392"/>
    <w:rsid w:val="005964D4"/>
    <w:rsid w:val="005966C3"/>
    <w:rsid w:val="00596C7B"/>
    <w:rsid w:val="00597398"/>
    <w:rsid w:val="00597515"/>
    <w:rsid w:val="00597671"/>
    <w:rsid w:val="00597698"/>
    <w:rsid w:val="005978CB"/>
    <w:rsid w:val="00597925"/>
    <w:rsid w:val="00597BEF"/>
    <w:rsid w:val="00597EA5"/>
    <w:rsid w:val="00597FD8"/>
    <w:rsid w:val="005A006B"/>
    <w:rsid w:val="005A0644"/>
    <w:rsid w:val="005A0899"/>
    <w:rsid w:val="005A09F4"/>
    <w:rsid w:val="005A0AE3"/>
    <w:rsid w:val="005A1296"/>
    <w:rsid w:val="005A1738"/>
    <w:rsid w:val="005A1CEE"/>
    <w:rsid w:val="005A1D34"/>
    <w:rsid w:val="005A20C2"/>
    <w:rsid w:val="005A22F4"/>
    <w:rsid w:val="005A2877"/>
    <w:rsid w:val="005A2C4C"/>
    <w:rsid w:val="005A2CE3"/>
    <w:rsid w:val="005A3027"/>
    <w:rsid w:val="005A305F"/>
    <w:rsid w:val="005A32F4"/>
    <w:rsid w:val="005A3513"/>
    <w:rsid w:val="005A37E0"/>
    <w:rsid w:val="005A40F9"/>
    <w:rsid w:val="005A4701"/>
    <w:rsid w:val="005A4D64"/>
    <w:rsid w:val="005A4FD9"/>
    <w:rsid w:val="005A5332"/>
    <w:rsid w:val="005A56C3"/>
    <w:rsid w:val="005A5789"/>
    <w:rsid w:val="005A57A9"/>
    <w:rsid w:val="005A59D1"/>
    <w:rsid w:val="005A59F2"/>
    <w:rsid w:val="005A5A43"/>
    <w:rsid w:val="005A5AF8"/>
    <w:rsid w:val="005A5B27"/>
    <w:rsid w:val="005A6153"/>
    <w:rsid w:val="005A6444"/>
    <w:rsid w:val="005A6572"/>
    <w:rsid w:val="005A65A5"/>
    <w:rsid w:val="005A6DB6"/>
    <w:rsid w:val="005A71CB"/>
    <w:rsid w:val="005A720F"/>
    <w:rsid w:val="005A7484"/>
    <w:rsid w:val="005A782D"/>
    <w:rsid w:val="005A7F0A"/>
    <w:rsid w:val="005B03F7"/>
    <w:rsid w:val="005B0504"/>
    <w:rsid w:val="005B0A64"/>
    <w:rsid w:val="005B0B75"/>
    <w:rsid w:val="005B0D7F"/>
    <w:rsid w:val="005B15D6"/>
    <w:rsid w:val="005B1749"/>
    <w:rsid w:val="005B1873"/>
    <w:rsid w:val="005B1883"/>
    <w:rsid w:val="005B1ABD"/>
    <w:rsid w:val="005B1B8B"/>
    <w:rsid w:val="005B1F88"/>
    <w:rsid w:val="005B2003"/>
    <w:rsid w:val="005B20C8"/>
    <w:rsid w:val="005B21AE"/>
    <w:rsid w:val="005B2247"/>
    <w:rsid w:val="005B248B"/>
    <w:rsid w:val="005B2498"/>
    <w:rsid w:val="005B260F"/>
    <w:rsid w:val="005B26A9"/>
    <w:rsid w:val="005B270A"/>
    <w:rsid w:val="005B27E4"/>
    <w:rsid w:val="005B2DBC"/>
    <w:rsid w:val="005B2F6A"/>
    <w:rsid w:val="005B3D82"/>
    <w:rsid w:val="005B3E14"/>
    <w:rsid w:val="005B3E53"/>
    <w:rsid w:val="005B41A9"/>
    <w:rsid w:val="005B4497"/>
    <w:rsid w:val="005B482A"/>
    <w:rsid w:val="005B4D69"/>
    <w:rsid w:val="005B532A"/>
    <w:rsid w:val="005B535C"/>
    <w:rsid w:val="005B5413"/>
    <w:rsid w:val="005B56C2"/>
    <w:rsid w:val="005B5C0D"/>
    <w:rsid w:val="005B63E2"/>
    <w:rsid w:val="005B6472"/>
    <w:rsid w:val="005B64D4"/>
    <w:rsid w:val="005B67A5"/>
    <w:rsid w:val="005B68B5"/>
    <w:rsid w:val="005B6AB7"/>
    <w:rsid w:val="005B6CFF"/>
    <w:rsid w:val="005B6D1F"/>
    <w:rsid w:val="005B7181"/>
    <w:rsid w:val="005B71CE"/>
    <w:rsid w:val="005B73C6"/>
    <w:rsid w:val="005B7A37"/>
    <w:rsid w:val="005B7EC2"/>
    <w:rsid w:val="005B7F95"/>
    <w:rsid w:val="005C095A"/>
    <w:rsid w:val="005C0A19"/>
    <w:rsid w:val="005C1055"/>
    <w:rsid w:val="005C10B6"/>
    <w:rsid w:val="005C16CA"/>
    <w:rsid w:val="005C16FB"/>
    <w:rsid w:val="005C1950"/>
    <w:rsid w:val="005C23ED"/>
    <w:rsid w:val="005C24DD"/>
    <w:rsid w:val="005C252F"/>
    <w:rsid w:val="005C2A22"/>
    <w:rsid w:val="005C2BA9"/>
    <w:rsid w:val="005C2BFC"/>
    <w:rsid w:val="005C30C6"/>
    <w:rsid w:val="005C3393"/>
    <w:rsid w:val="005C35E2"/>
    <w:rsid w:val="005C3A45"/>
    <w:rsid w:val="005C3A5D"/>
    <w:rsid w:val="005C3BE5"/>
    <w:rsid w:val="005C408A"/>
    <w:rsid w:val="005C4584"/>
    <w:rsid w:val="005C52F2"/>
    <w:rsid w:val="005C539E"/>
    <w:rsid w:val="005C543B"/>
    <w:rsid w:val="005C58CC"/>
    <w:rsid w:val="005C5927"/>
    <w:rsid w:val="005C60E5"/>
    <w:rsid w:val="005C6113"/>
    <w:rsid w:val="005C61CE"/>
    <w:rsid w:val="005C6A0C"/>
    <w:rsid w:val="005C6BC4"/>
    <w:rsid w:val="005C6CDB"/>
    <w:rsid w:val="005C71A5"/>
    <w:rsid w:val="005C7915"/>
    <w:rsid w:val="005C79A8"/>
    <w:rsid w:val="005D0414"/>
    <w:rsid w:val="005D0607"/>
    <w:rsid w:val="005D0767"/>
    <w:rsid w:val="005D0BAA"/>
    <w:rsid w:val="005D0FDC"/>
    <w:rsid w:val="005D102A"/>
    <w:rsid w:val="005D1968"/>
    <w:rsid w:val="005D1A5B"/>
    <w:rsid w:val="005D1DD2"/>
    <w:rsid w:val="005D2793"/>
    <w:rsid w:val="005D2BA4"/>
    <w:rsid w:val="005D2EEA"/>
    <w:rsid w:val="005D347B"/>
    <w:rsid w:val="005D3659"/>
    <w:rsid w:val="005D3717"/>
    <w:rsid w:val="005D3E8B"/>
    <w:rsid w:val="005D4559"/>
    <w:rsid w:val="005D4CBE"/>
    <w:rsid w:val="005D4EEC"/>
    <w:rsid w:val="005D4EEF"/>
    <w:rsid w:val="005D593F"/>
    <w:rsid w:val="005D59EC"/>
    <w:rsid w:val="005D5A65"/>
    <w:rsid w:val="005D600A"/>
    <w:rsid w:val="005D642D"/>
    <w:rsid w:val="005D6906"/>
    <w:rsid w:val="005D6D3F"/>
    <w:rsid w:val="005D774C"/>
    <w:rsid w:val="005D77D7"/>
    <w:rsid w:val="005D7A2C"/>
    <w:rsid w:val="005E00AD"/>
    <w:rsid w:val="005E045E"/>
    <w:rsid w:val="005E0693"/>
    <w:rsid w:val="005E0C3C"/>
    <w:rsid w:val="005E0C92"/>
    <w:rsid w:val="005E149B"/>
    <w:rsid w:val="005E17C6"/>
    <w:rsid w:val="005E1842"/>
    <w:rsid w:val="005E1843"/>
    <w:rsid w:val="005E193C"/>
    <w:rsid w:val="005E1F76"/>
    <w:rsid w:val="005E2186"/>
    <w:rsid w:val="005E22ED"/>
    <w:rsid w:val="005E23A2"/>
    <w:rsid w:val="005E2836"/>
    <w:rsid w:val="005E2851"/>
    <w:rsid w:val="005E2F7D"/>
    <w:rsid w:val="005E31F5"/>
    <w:rsid w:val="005E38DD"/>
    <w:rsid w:val="005E39B9"/>
    <w:rsid w:val="005E39D6"/>
    <w:rsid w:val="005E427C"/>
    <w:rsid w:val="005E47D2"/>
    <w:rsid w:val="005E4C92"/>
    <w:rsid w:val="005E4E68"/>
    <w:rsid w:val="005E4FD6"/>
    <w:rsid w:val="005E553F"/>
    <w:rsid w:val="005E560B"/>
    <w:rsid w:val="005E5A6A"/>
    <w:rsid w:val="005E635F"/>
    <w:rsid w:val="005E63D0"/>
    <w:rsid w:val="005E662A"/>
    <w:rsid w:val="005E6B80"/>
    <w:rsid w:val="005E7030"/>
    <w:rsid w:val="005E7370"/>
    <w:rsid w:val="005E7C88"/>
    <w:rsid w:val="005F0075"/>
    <w:rsid w:val="005F02ED"/>
    <w:rsid w:val="005F0417"/>
    <w:rsid w:val="005F05DC"/>
    <w:rsid w:val="005F066C"/>
    <w:rsid w:val="005F075C"/>
    <w:rsid w:val="005F0D28"/>
    <w:rsid w:val="005F0DDD"/>
    <w:rsid w:val="005F1349"/>
    <w:rsid w:val="005F16E8"/>
    <w:rsid w:val="005F197A"/>
    <w:rsid w:val="005F1AC1"/>
    <w:rsid w:val="005F1D64"/>
    <w:rsid w:val="005F24B8"/>
    <w:rsid w:val="005F26E0"/>
    <w:rsid w:val="005F282A"/>
    <w:rsid w:val="005F2A79"/>
    <w:rsid w:val="005F2B99"/>
    <w:rsid w:val="005F3481"/>
    <w:rsid w:val="005F3C87"/>
    <w:rsid w:val="005F404A"/>
    <w:rsid w:val="005F46D7"/>
    <w:rsid w:val="005F4728"/>
    <w:rsid w:val="005F49CE"/>
    <w:rsid w:val="005F4D16"/>
    <w:rsid w:val="005F4E43"/>
    <w:rsid w:val="005F5064"/>
    <w:rsid w:val="005F566A"/>
    <w:rsid w:val="005F572D"/>
    <w:rsid w:val="005F5CB4"/>
    <w:rsid w:val="005F604A"/>
    <w:rsid w:val="005F6C02"/>
    <w:rsid w:val="005F6EFF"/>
    <w:rsid w:val="005F745B"/>
    <w:rsid w:val="005F7726"/>
    <w:rsid w:val="005F7776"/>
    <w:rsid w:val="005F7B1F"/>
    <w:rsid w:val="006000AD"/>
    <w:rsid w:val="006002B4"/>
    <w:rsid w:val="006009CE"/>
    <w:rsid w:val="00601135"/>
    <w:rsid w:val="0060115D"/>
    <w:rsid w:val="00601219"/>
    <w:rsid w:val="00601279"/>
    <w:rsid w:val="0060147E"/>
    <w:rsid w:val="00601847"/>
    <w:rsid w:val="00601A68"/>
    <w:rsid w:val="00601CB1"/>
    <w:rsid w:val="00601F54"/>
    <w:rsid w:val="00602022"/>
    <w:rsid w:val="006023BA"/>
    <w:rsid w:val="00602821"/>
    <w:rsid w:val="00602D0E"/>
    <w:rsid w:val="00603143"/>
    <w:rsid w:val="006037BA"/>
    <w:rsid w:val="006037C7"/>
    <w:rsid w:val="00603BC6"/>
    <w:rsid w:val="00603C2B"/>
    <w:rsid w:val="00604678"/>
    <w:rsid w:val="00604689"/>
    <w:rsid w:val="00604F28"/>
    <w:rsid w:val="006054C4"/>
    <w:rsid w:val="00605620"/>
    <w:rsid w:val="00605CBF"/>
    <w:rsid w:val="00605FD0"/>
    <w:rsid w:val="0060617B"/>
    <w:rsid w:val="0060626A"/>
    <w:rsid w:val="0060654E"/>
    <w:rsid w:val="00606712"/>
    <w:rsid w:val="00606A6B"/>
    <w:rsid w:val="00606A7A"/>
    <w:rsid w:val="00606A91"/>
    <w:rsid w:val="00606AD3"/>
    <w:rsid w:val="00606ADB"/>
    <w:rsid w:val="00606B81"/>
    <w:rsid w:val="00606B9B"/>
    <w:rsid w:val="00606CDB"/>
    <w:rsid w:val="006072F8"/>
    <w:rsid w:val="006073D6"/>
    <w:rsid w:val="00607401"/>
    <w:rsid w:val="00607793"/>
    <w:rsid w:val="0061014D"/>
    <w:rsid w:val="00610841"/>
    <w:rsid w:val="0061094F"/>
    <w:rsid w:val="00610BC7"/>
    <w:rsid w:val="006113F2"/>
    <w:rsid w:val="006115B1"/>
    <w:rsid w:val="006117FE"/>
    <w:rsid w:val="00611A94"/>
    <w:rsid w:val="00611AFE"/>
    <w:rsid w:val="00611D85"/>
    <w:rsid w:val="00611DDD"/>
    <w:rsid w:val="0061258E"/>
    <w:rsid w:val="00612A48"/>
    <w:rsid w:val="006134DD"/>
    <w:rsid w:val="0061471D"/>
    <w:rsid w:val="006147D7"/>
    <w:rsid w:val="0061490A"/>
    <w:rsid w:val="00614C37"/>
    <w:rsid w:val="00615109"/>
    <w:rsid w:val="00615785"/>
    <w:rsid w:val="006157E6"/>
    <w:rsid w:val="00615B6D"/>
    <w:rsid w:val="00615D72"/>
    <w:rsid w:val="00615E55"/>
    <w:rsid w:val="006160A5"/>
    <w:rsid w:val="006163B0"/>
    <w:rsid w:val="00616A9C"/>
    <w:rsid w:val="00616C68"/>
    <w:rsid w:val="00616FE0"/>
    <w:rsid w:val="00617022"/>
    <w:rsid w:val="00617A3A"/>
    <w:rsid w:val="00617D85"/>
    <w:rsid w:val="00617EDC"/>
    <w:rsid w:val="00620112"/>
    <w:rsid w:val="00620157"/>
    <w:rsid w:val="00620409"/>
    <w:rsid w:val="0062092C"/>
    <w:rsid w:val="00620F60"/>
    <w:rsid w:val="0062108F"/>
    <w:rsid w:val="006210A8"/>
    <w:rsid w:val="00621518"/>
    <w:rsid w:val="006216EC"/>
    <w:rsid w:val="00621CA5"/>
    <w:rsid w:val="00622568"/>
    <w:rsid w:val="00622845"/>
    <w:rsid w:val="00622DB1"/>
    <w:rsid w:val="00622FCA"/>
    <w:rsid w:val="00623115"/>
    <w:rsid w:val="00623458"/>
    <w:rsid w:val="00623470"/>
    <w:rsid w:val="00623676"/>
    <w:rsid w:val="00623933"/>
    <w:rsid w:val="00624044"/>
    <w:rsid w:val="006241D3"/>
    <w:rsid w:val="006242B6"/>
    <w:rsid w:val="0062449E"/>
    <w:rsid w:val="00625270"/>
    <w:rsid w:val="00625812"/>
    <w:rsid w:val="00625A3C"/>
    <w:rsid w:val="00625E77"/>
    <w:rsid w:val="00625E85"/>
    <w:rsid w:val="006261CF"/>
    <w:rsid w:val="006262AA"/>
    <w:rsid w:val="006263CD"/>
    <w:rsid w:val="00626434"/>
    <w:rsid w:val="006269EE"/>
    <w:rsid w:val="00626BD3"/>
    <w:rsid w:val="0062729C"/>
    <w:rsid w:val="006275FA"/>
    <w:rsid w:val="006279B8"/>
    <w:rsid w:val="006279CB"/>
    <w:rsid w:val="00627BDD"/>
    <w:rsid w:val="00627E00"/>
    <w:rsid w:val="006307D8"/>
    <w:rsid w:val="00630B60"/>
    <w:rsid w:val="0063141D"/>
    <w:rsid w:val="00631B6D"/>
    <w:rsid w:val="00631C07"/>
    <w:rsid w:val="00631D84"/>
    <w:rsid w:val="00632080"/>
    <w:rsid w:val="0063216C"/>
    <w:rsid w:val="006323EA"/>
    <w:rsid w:val="00632C6F"/>
    <w:rsid w:val="00632D5B"/>
    <w:rsid w:val="00632E04"/>
    <w:rsid w:val="006331C3"/>
    <w:rsid w:val="006338BB"/>
    <w:rsid w:val="00633D2C"/>
    <w:rsid w:val="00633D4C"/>
    <w:rsid w:val="00633F67"/>
    <w:rsid w:val="0063407F"/>
    <w:rsid w:val="00634273"/>
    <w:rsid w:val="006345A4"/>
    <w:rsid w:val="00634A9B"/>
    <w:rsid w:val="00634F50"/>
    <w:rsid w:val="006351FF"/>
    <w:rsid w:val="006358F3"/>
    <w:rsid w:val="0063597E"/>
    <w:rsid w:val="00635D6C"/>
    <w:rsid w:val="00635FC4"/>
    <w:rsid w:val="0063612D"/>
    <w:rsid w:val="0063684F"/>
    <w:rsid w:val="006368F7"/>
    <w:rsid w:val="00636A98"/>
    <w:rsid w:val="00636E60"/>
    <w:rsid w:val="0063719F"/>
    <w:rsid w:val="00637397"/>
    <w:rsid w:val="00637483"/>
    <w:rsid w:val="00637772"/>
    <w:rsid w:val="00637993"/>
    <w:rsid w:val="00637A91"/>
    <w:rsid w:val="00637D08"/>
    <w:rsid w:val="00637ED6"/>
    <w:rsid w:val="006400CB"/>
    <w:rsid w:val="00640533"/>
    <w:rsid w:val="006408E7"/>
    <w:rsid w:val="00640939"/>
    <w:rsid w:val="00640CE5"/>
    <w:rsid w:val="0064147C"/>
    <w:rsid w:val="00641606"/>
    <w:rsid w:val="006417C5"/>
    <w:rsid w:val="00641BB5"/>
    <w:rsid w:val="00641C4C"/>
    <w:rsid w:val="0064204C"/>
    <w:rsid w:val="00642563"/>
    <w:rsid w:val="00642601"/>
    <w:rsid w:val="006432DD"/>
    <w:rsid w:val="00643458"/>
    <w:rsid w:val="006436DE"/>
    <w:rsid w:val="00643C04"/>
    <w:rsid w:val="00643FF9"/>
    <w:rsid w:val="006443A1"/>
    <w:rsid w:val="0064456E"/>
    <w:rsid w:val="006448CA"/>
    <w:rsid w:val="006449F0"/>
    <w:rsid w:val="00644CFD"/>
    <w:rsid w:val="0064521A"/>
    <w:rsid w:val="006453B8"/>
    <w:rsid w:val="00645418"/>
    <w:rsid w:val="00645A2E"/>
    <w:rsid w:val="00645E70"/>
    <w:rsid w:val="00645FD2"/>
    <w:rsid w:val="00646076"/>
    <w:rsid w:val="00646117"/>
    <w:rsid w:val="00646B96"/>
    <w:rsid w:val="00646C65"/>
    <w:rsid w:val="00646CF8"/>
    <w:rsid w:val="00647373"/>
    <w:rsid w:val="0064739E"/>
    <w:rsid w:val="006473FC"/>
    <w:rsid w:val="00647683"/>
    <w:rsid w:val="00647740"/>
    <w:rsid w:val="006478E8"/>
    <w:rsid w:val="00647CED"/>
    <w:rsid w:val="00647FD2"/>
    <w:rsid w:val="006501E5"/>
    <w:rsid w:val="00650537"/>
    <w:rsid w:val="00650778"/>
    <w:rsid w:val="00650D43"/>
    <w:rsid w:val="0065116C"/>
    <w:rsid w:val="00652241"/>
    <w:rsid w:val="00652402"/>
    <w:rsid w:val="00652656"/>
    <w:rsid w:val="006527B6"/>
    <w:rsid w:val="00653176"/>
    <w:rsid w:val="006533FC"/>
    <w:rsid w:val="00653430"/>
    <w:rsid w:val="00653B8B"/>
    <w:rsid w:val="00653F8B"/>
    <w:rsid w:val="00654925"/>
    <w:rsid w:val="00654989"/>
    <w:rsid w:val="00654F83"/>
    <w:rsid w:val="006556BE"/>
    <w:rsid w:val="0065587C"/>
    <w:rsid w:val="006560CF"/>
    <w:rsid w:val="00656251"/>
    <w:rsid w:val="00656B66"/>
    <w:rsid w:val="006575A9"/>
    <w:rsid w:val="00657A80"/>
    <w:rsid w:val="00657BB6"/>
    <w:rsid w:val="00657F1C"/>
    <w:rsid w:val="00657FFA"/>
    <w:rsid w:val="00660214"/>
    <w:rsid w:val="006603ED"/>
    <w:rsid w:val="00660719"/>
    <w:rsid w:val="00661576"/>
    <w:rsid w:val="00661AA6"/>
    <w:rsid w:val="00662081"/>
    <w:rsid w:val="00662133"/>
    <w:rsid w:val="0066219A"/>
    <w:rsid w:val="006621CC"/>
    <w:rsid w:val="00662661"/>
    <w:rsid w:val="00662879"/>
    <w:rsid w:val="006628A4"/>
    <w:rsid w:val="00662BEB"/>
    <w:rsid w:val="00662CED"/>
    <w:rsid w:val="00662D30"/>
    <w:rsid w:val="0066351A"/>
    <w:rsid w:val="006636A1"/>
    <w:rsid w:val="0066396E"/>
    <w:rsid w:val="006639D1"/>
    <w:rsid w:val="00663F01"/>
    <w:rsid w:val="00663F60"/>
    <w:rsid w:val="0066403D"/>
    <w:rsid w:val="00664679"/>
    <w:rsid w:val="006646A5"/>
    <w:rsid w:val="006646BD"/>
    <w:rsid w:val="00664870"/>
    <w:rsid w:val="00664A74"/>
    <w:rsid w:val="0066592C"/>
    <w:rsid w:val="0066592E"/>
    <w:rsid w:val="00665D1E"/>
    <w:rsid w:val="00665E12"/>
    <w:rsid w:val="006663DD"/>
    <w:rsid w:val="00666D36"/>
    <w:rsid w:val="00666D8F"/>
    <w:rsid w:val="00666F97"/>
    <w:rsid w:val="00667073"/>
    <w:rsid w:val="006672D2"/>
    <w:rsid w:val="00667B9E"/>
    <w:rsid w:val="00667FE6"/>
    <w:rsid w:val="006707A1"/>
    <w:rsid w:val="006708CD"/>
    <w:rsid w:val="006711A2"/>
    <w:rsid w:val="006716DE"/>
    <w:rsid w:val="006716E7"/>
    <w:rsid w:val="0067173B"/>
    <w:rsid w:val="00671CDD"/>
    <w:rsid w:val="00671FEC"/>
    <w:rsid w:val="006720D7"/>
    <w:rsid w:val="006721CB"/>
    <w:rsid w:val="00672332"/>
    <w:rsid w:val="00672C2D"/>
    <w:rsid w:val="00673BBB"/>
    <w:rsid w:val="00673F1D"/>
    <w:rsid w:val="00673FC5"/>
    <w:rsid w:val="0067424D"/>
    <w:rsid w:val="00674362"/>
    <w:rsid w:val="0067437D"/>
    <w:rsid w:val="006744EB"/>
    <w:rsid w:val="00674785"/>
    <w:rsid w:val="00674935"/>
    <w:rsid w:val="00674DC8"/>
    <w:rsid w:val="00676235"/>
    <w:rsid w:val="0067684C"/>
    <w:rsid w:val="00676903"/>
    <w:rsid w:val="00676927"/>
    <w:rsid w:val="00677124"/>
    <w:rsid w:val="00677178"/>
    <w:rsid w:val="006776A6"/>
    <w:rsid w:val="00677B22"/>
    <w:rsid w:val="006803ED"/>
    <w:rsid w:val="0068062A"/>
    <w:rsid w:val="00680897"/>
    <w:rsid w:val="00680C51"/>
    <w:rsid w:val="00680D90"/>
    <w:rsid w:val="00680E22"/>
    <w:rsid w:val="006817E0"/>
    <w:rsid w:val="00681C73"/>
    <w:rsid w:val="00681C7E"/>
    <w:rsid w:val="00681D63"/>
    <w:rsid w:val="00681DBC"/>
    <w:rsid w:val="00681FEF"/>
    <w:rsid w:val="0068213E"/>
    <w:rsid w:val="00682149"/>
    <w:rsid w:val="0068279D"/>
    <w:rsid w:val="00682A03"/>
    <w:rsid w:val="00682CC0"/>
    <w:rsid w:val="00682D1A"/>
    <w:rsid w:val="0068322F"/>
    <w:rsid w:val="006832A0"/>
    <w:rsid w:val="00683357"/>
    <w:rsid w:val="00683647"/>
    <w:rsid w:val="00683B95"/>
    <w:rsid w:val="006844D4"/>
    <w:rsid w:val="006846F0"/>
    <w:rsid w:val="0068494E"/>
    <w:rsid w:val="00684B01"/>
    <w:rsid w:val="00684D18"/>
    <w:rsid w:val="0068508B"/>
    <w:rsid w:val="00685259"/>
    <w:rsid w:val="00685504"/>
    <w:rsid w:val="00685737"/>
    <w:rsid w:val="00685C55"/>
    <w:rsid w:val="00685EBB"/>
    <w:rsid w:val="00685FC5"/>
    <w:rsid w:val="006862EB"/>
    <w:rsid w:val="00686574"/>
    <w:rsid w:val="006865EC"/>
    <w:rsid w:val="0068670F"/>
    <w:rsid w:val="0068685F"/>
    <w:rsid w:val="00686ED8"/>
    <w:rsid w:val="00686EDD"/>
    <w:rsid w:val="00686EE2"/>
    <w:rsid w:val="0068716C"/>
    <w:rsid w:val="00687695"/>
    <w:rsid w:val="0068779C"/>
    <w:rsid w:val="00687C83"/>
    <w:rsid w:val="0069012B"/>
    <w:rsid w:val="00690457"/>
    <w:rsid w:val="0069067A"/>
    <w:rsid w:val="00690A3E"/>
    <w:rsid w:val="00690BC5"/>
    <w:rsid w:val="00690F72"/>
    <w:rsid w:val="0069117B"/>
    <w:rsid w:val="0069123D"/>
    <w:rsid w:val="0069131C"/>
    <w:rsid w:val="0069216D"/>
    <w:rsid w:val="006923A5"/>
    <w:rsid w:val="00692560"/>
    <w:rsid w:val="0069277D"/>
    <w:rsid w:val="00692B93"/>
    <w:rsid w:val="00692C9B"/>
    <w:rsid w:val="00692CA8"/>
    <w:rsid w:val="0069302B"/>
    <w:rsid w:val="00693330"/>
    <w:rsid w:val="00693AD3"/>
    <w:rsid w:val="00694A7D"/>
    <w:rsid w:val="00694CE7"/>
    <w:rsid w:val="00694E7A"/>
    <w:rsid w:val="00695D95"/>
    <w:rsid w:val="006960EC"/>
    <w:rsid w:val="0069683F"/>
    <w:rsid w:val="00696F27"/>
    <w:rsid w:val="00696FE2"/>
    <w:rsid w:val="0069707C"/>
    <w:rsid w:val="00697904"/>
    <w:rsid w:val="006979C0"/>
    <w:rsid w:val="00697B35"/>
    <w:rsid w:val="006A0506"/>
    <w:rsid w:val="006A0747"/>
    <w:rsid w:val="006A1162"/>
    <w:rsid w:val="006A14EA"/>
    <w:rsid w:val="006A14F5"/>
    <w:rsid w:val="006A1E74"/>
    <w:rsid w:val="006A2243"/>
    <w:rsid w:val="006A2B8A"/>
    <w:rsid w:val="006A2CBB"/>
    <w:rsid w:val="006A2EAD"/>
    <w:rsid w:val="006A2F60"/>
    <w:rsid w:val="006A31A4"/>
    <w:rsid w:val="006A32B5"/>
    <w:rsid w:val="006A347D"/>
    <w:rsid w:val="006A363A"/>
    <w:rsid w:val="006A3E3F"/>
    <w:rsid w:val="006A4060"/>
    <w:rsid w:val="006A4275"/>
    <w:rsid w:val="006A4308"/>
    <w:rsid w:val="006A4452"/>
    <w:rsid w:val="006A46DE"/>
    <w:rsid w:val="006A487B"/>
    <w:rsid w:val="006A535B"/>
    <w:rsid w:val="006A5473"/>
    <w:rsid w:val="006A5688"/>
    <w:rsid w:val="006A5C48"/>
    <w:rsid w:val="006A5CF2"/>
    <w:rsid w:val="006A5F25"/>
    <w:rsid w:val="006A61AF"/>
    <w:rsid w:val="006A66F6"/>
    <w:rsid w:val="006A6B5B"/>
    <w:rsid w:val="006A6F63"/>
    <w:rsid w:val="006A711A"/>
    <w:rsid w:val="006A71E4"/>
    <w:rsid w:val="006A7D54"/>
    <w:rsid w:val="006B01D5"/>
    <w:rsid w:val="006B068B"/>
    <w:rsid w:val="006B06C1"/>
    <w:rsid w:val="006B087D"/>
    <w:rsid w:val="006B0A0C"/>
    <w:rsid w:val="006B0B21"/>
    <w:rsid w:val="006B0EE1"/>
    <w:rsid w:val="006B17B1"/>
    <w:rsid w:val="006B1C1A"/>
    <w:rsid w:val="006B1C28"/>
    <w:rsid w:val="006B1D8E"/>
    <w:rsid w:val="006B1DE6"/>
    <w:rsid w:val="006B1E21"/>
    <w:rsid w:val="006B211D"/>
    <w:rsid w:val="006B2362"/>
    <w:rsid w:val="006B2491"/>
    <w:rsid w:val="006B261A"/>
    <w:rsid w:val="006B2B57"/>
    <w:rsid w:val="006B2DB4"/>
    <w:rsid w:val="006B2F92"/>
    <w:rsid w:val="006B358B"/>
    <w:rsid w:val="006B36F0"/>
    <w:rsid w:val="006B3706"/>
    <w:rsid w:val="006B3721"/>
    <w:rsid w:val="006B3B86"/>
    <w:rsid w:val="006B3EB9"/>
    <w:rsid w:val="006B43AF"/>
    <w:rsid w:val="006B46F1"/>
    <w:rsid w:val="006B4856"/>
    <w:rsid w:val="006B4F27"/>
    <w:rsid w:val="006B5196"/>
    <w:rsid w:val="006B5988"/>
    <w:rsid w:val="006B5CCA"/>
    <w:rsid w:val="006B5FC8"/>
    <w:rsid w:val="006B736D"/>
    <w:rsid w:val="006B7406"/>
    <w:rsid w:val="006B792E"/>
    <w:rsid w:val="006B7B64"/>
    <w:rsid w:val="006B7C18"/>
    <w:rsid w:val="006B7C50"/>
    <w:rsid w:val="006B7FBB"/>
    <w:rsid w:val="006C0050"/>
    <w:rsid w:val="006C0651"/>
    <w:rsid w:val="006C0C65"/>
    <w:rsid w:val="006C1448"/>
    <w:rsid w:val="006C148D"/>
    <w:rsid w:val="006C14B1"/>
    <w:rsid w:val="006C17F7"/>
    <w:rsid w:val="006C1EB5"/>
    <w:rsid w:val="006C255C"/>
    <w:rsid w:val="006C26E9"/>
    <w:rsid w:val="006C37C8"/>
    <w:rsid w:val="006C37E9"/>
    <w:rsid w:val="006C3895"/>
    <w:rsid w:val="006C3A02"/>
    <w:rsid w:val="006C4297"/>
    <w:rsid w:val="006C42BD"/>
    <w:rsid w:val="006C4679"/>
    <w:rsid w:val="006C478B"/>
    <w:rsid w:val="006C488C"/>
    <w:rsid w:val="006C4FEB"/>
    <w:rsid w:val="006C5D78"/>
    <w:rsid w:val="006C5EDE"/>
    <w:rsid w:val="006C63E8"/>
    <w:rsid w:val="006C6540"/>
    <w:rsid w:val="006C681D"/>
    <w:rsid w:val="006C6BF1"/>
    <w:rsid w:val="006C6F7E"/>
    <w:rsid w:val="006C7029"/>
    <w:rsid w:val="006C70C0"/>
    <w:rsid w:val="006C75D4"/>
    <w:rsid w:val="006C7814"/>
    <w:rsid w:val="006C78C4"/>
    <w:rsid w:val="006C7D8A"/>
    <w:rsid w:val="006D0BFE"/>
    <w:rsid w:val="006D0F26"/>
    <w:rsid w:val="006D11E7"/>
    <w:rsid w:val="006D1890"/>
    <w:rsid w:val="006D199C"/>
    <w:rsid w:val="006D2079"/>
    <w:rsid w:val="006D22E2"/>
    <w:rsid w:val="006D2604"/>
    <w:rsid w:val="006D2FCE"/>
    <w:rsid w:val="006D34E4"/>
    <w:rsid w:val="006D3C6A"/>
    <w:rsid w:val="006D3CDE"/>
    <w:rsid w:val="006D3E5C"/>
    <w:rsid w:val="006D42BC"/>
    <w:rsid w:val="006D5128"/>
    <w:rsid w:val="006D52AD"/>
    <w:rsid w:val="006D549E"/>
    <w:rsid w:val="006D5C79"/>
    <w:rsid w:val="006D5CD5"/>
    <w:rsid w:val="006D5F9A"/>
    <w:rsid w:val="006D616F"/>
    <w:rsid w:val="006D625C"/>
    <w:rsid w:val="006D68FC"/>
    <w:rsid w:val="006D691D"/>
    <w:rsid w:val="006D6A51"/>
    <w:rsid w:val="006D6AF7"/>
    <w:rsid w:val="006D70AE"/>
    <w:rsid w:val="006D725B"/>
    <w:rsid w:val="006D7340"/>
    <w:rsid w:val="006D760B"/>
    <w:rsid w:val="006D7996"/>
    <w:rsid w:val="006D7C28"/>
    <w:rsid w:val="006D7F9E"/>
    <w:rsid w:val="006E02FE"/>
    <w:rsid w:val="006E0473"/>
    <w:rsid w:val="006E0621"/>
    <w:rsid w:val="006E07A1"/>
    <w:rsid w:val="006E07AF"/>
    <w:rsid w:val="006E08BB"/>
    <w:rsid w:val="006E0C01"/>
    <w:rsid w:val="006E11F9"/>
    <w:rsid w:val="006E1555"/>
    <w:rsid w:val="006E1582"/>
    <w:rsid w:val="006E16DD"/>
    <w:rsid w:val="006E19C1"/>
    <w:rsid w:val="006E1E65"/>
    <w:rsid w:val="006E2A36"/>
    <w:rsid w:val="006E2B58"/>
    <w:rsid w:val="006E2B7F"/>
    <w:rsid w:val="006E3208"/>
    <w:rsid w:val="006E3266"/>
    <w:rsid w:val="006E3531"/>
    <w:rsid w:val="006E3AB6"/>
    <w:rsid w:val="006E3BB4"/>
    <w:rsid w:val="006E4105"/>
    <w:rsid w:val="006E43C3"/>
    <w:rsid w:val="006E47AB"/>
    <w:rsid w:val="006E47B0"/>
    <w:rsid w:val="006E4A70"/>
    <w:rsid w:val="006E4C5E"/>
    <w:rsid w:val="006E4CA9"/>
    <w:rsid w:val="006E4E9C"/>
    <w:rsid w:val="006E4FDA"/>
    <w:rsid w:val="006E513E"/>
    <w:rsid w:val="006E51BF"/>
    <w:rsid w:val="006E5329"/>
    <w:rsid w:val="006E56BB"/>
    <w:rsid w:val="006E589C"/>
    <w:rsid w:val="006E5950"/>
    <w:rsid w:val="006E5A53"/>
    <w:rsid w:val="006E67ED"/>
    <w:rsid w:val="006E6A46"/>
    <w:rsid w:val="006E6B4E"/>
    <w:rsid w:val="006E6BBF"/>
    <w:rsid w:val="006E6DBF"/>
    <w:rsid w:val="006E6FE0"/>
    <w:rsid w:val="006E730A"/>
    <w:rsid w:val="006E7560"/>
    <w:rsid w:val="006F0056"/>
    <w:rsid w:val="006F034F"/>
    <w:rsid w:val="006F0428"/>
    <w:rsid w:val="006F06E5"/>
    <w:rsid w:val="006F07B3"/>
    <w:rsid w:val="006F07E6"/>
    <w:rsid w:val="006F0934"/>
    <w:rsid w:val="006F0E22"/>
    <w:rsid w:val="006F0F93"/>
    <w:rsid w:val="006F11A0"/>
    <w:rsid w:val="006F12AC"/>
    <w:rsid w:val="006F1417"/>
    <w:rsid w:val="006F15F6"/>
    <w:rsid w:val="006F171A"/>
    <w:rsid w:val="006F241F"/>
    <w:rsid w:val="006F29B6"/>
    <w:rsid w:val="006F2E05"/>
    <w:rsid w:val="006F32AA"/>
    <w:rsid w:val="006F35F7"/>
    <w:rsid w:val="006F3BD5"/>
    <w:rsid w:val="006F3D6F"/>
    <w:rsid w:val="006F3DF5"/>
    <w:rsid w:val="006F5386"/>
    <w:rsid w:val="006F5F11"/>
    <w:rsid w:val="006F6135"/>
    <w:rsid w:val="006F622F"/>
    <w:rsid w:val="006F637D"/>
    <w:rsid w:val="006F654E"/>
    <w:rsid w:val="006F66AD"/>
    <w:rsid w:val="006F67F6"/>
    <w:rsid w:val="006F6979"/>
    <w:rsid w:val="006F69D7"/>
    <w:rsid w:val="006F704A"/>
    <w:rsid w:val="006F71C7"/>
    <w:rsid w:val="006F7A79"/>
    <w:rsid w:val="006F7C6C"/>
    <w:rsid w:val="007003B3"/>
    <w:rsid w:val="00700696"/>
    <w:rsid w:val="00700858"/>
    <w:rsid w:val="00700E45"/>
    <w:rsid w:val="0070106E"/>
    <w:rsid w:val="0070118B"/>
    <w:rsid w:val="00701498"/>
    <w:rsid w:val="00701833"/>
    <w:rsid w:val="00701C08"/>
    <w:rsid w:val="00701DE7"/>
    <w:rsid w:val="00701E94"/>
    <w:rsid w:val="0070218E"/>
    <w:rsid w:val="00702AF9"/>
    <w:rsid w:val="0070388E"/>
    <w:rsid w:val="0070393C"/>
    <w:rsid w:val="00703CFF"/>
    <w:rsid w:val="00703DC3"/>
    <w:rsid w:val="0070497C"/>
    <w:rsid w:val="00704B14"/>
    <w:rsid w:val="00704B9E"/>
    <w:rsid w:val="00704BF0"/>
    <w:rsid w:val="007050A5"/>
    <w:rsid w:val="00705106"/>
    <w:rsid w:val="00705699"/>
    <w:rsid w:val="007056CE"/>
    <w:rsid w:val="007059DC"/>
    <w:rsid w:val="00705B1E"/>
    <w:rsid w:val="00705DA2"/>
    <w:rsid w:val="007063CA"/>
    <w:rsid w:val="007066A2"/>
    <w:rsid w:val="00706B3F"/>
    <w:rsid w:val="00706CB0"/>
    <w:rsid w:val="00706E04"/>
    <w:rsid w:val="00707269"/>
    <w:rsid w:val="00707A85"/>
    <w:rsid w:val="00707B93"/>
    <w:rsid w:val="00707D27"/>
    <w:rsid w:val="007100AA"/>
    <w:rsid w:val="00710B2F"/>
    <w:rsid w:val="00710DE0"/>
    <w:rsid w:val="007110B3"/>
    <w:rsid w:val="00711241"/>
    <w:rsid w:val="00711474"/>
    <w:rsid w:val="007115C0"/>
    <w:rsid w:val="00711F59"/>
    <w:rsid w:val="00711F83"/>
    <w:rsid w:val="0071213F"/>
    <w:rsid w:val="007121C1"/>
    <w:rsid w:val="00712AC2"/>
    <w:rsid w:val="00712AD7"/>
    <w:rsid w:val="0071333E"/>
    <w:rsid w:val="007138FD"/>
    <w:rsid w:val="00713D2F"/>
    <w:rsid w:val="00713EE1"/>
    <w:rsid w:val="00714270"/>
    <w:rsid w:val="007148FB"/>
    <w:rsid w:val="007149E7"/>
    <w:rsid w:val="00714AA2"/>
    <w:rsid w:val="00714ACD"/>
    <w:rsid w:val="00714B3D"/>
    <w:rsid w:val="00714B43"/>
    <w:rsid w:val="00714E30"/>
    <w:rsid w:val="007150A9"/>
    <w:rsid w:val="00715174"/>
    <w:rsid w:val="00715202"/>
    <w:rsid w:val="007153A0"/>
    <w:rsid w:val="007156AB"/>
    <w:rsid w:val="0071596D"/>
    <w:rsid w:val="00715E0E"/>
    <w:rsid w:val="00716000"/>
    <w:rsid w:val="007164B0"/>
    <w:rsid w:val="00716BB8"/>
    <w:rsid w:val="00716D05"/>
    <w:rsid w:val="00716E84"/>
    <w:rsid w:val="007170CF"/>
    <w:rsid w:val="007170FE"/>
    <w:rsid w:val="00717637"/>
    <w:rsid w:val="007179DC"/>
    <w:rsid w:val="00717D51"/>
    <w:rsid w:val="007201CA"/>
    <w:rsid w:val="00720C75"/>
    <w:rsid w:val="00720E12"/>
    <w:rsid w:val="00720FB5"/>
    <w:rsid w:val="00721792"/>
    <w:rsid w:val="0072180A"/>
    <w:rsid w:val="0072199A"/>
    <w:rsid w:val="007226C3"/>
    <w:rsid w:val="00722FDF"/>
    <w:rsid w:val="00723065"/>
    <w:rsid w:val="00723273"/>
    <w:rsid w:val="0072358E"/>
    <w:rsid w:val="007236D3"/>
    <w:rsid w:val="00723984"/>
    <w:rsid w:val="007247C5"/>
    <w:rsid w:val="00724857"/>
    <w:rsid w:val="00724AE1"/>
    <w:rsid w:val="00724B54"/>
    <w:rsid w:val="00724E76"/>
    <w:rsid w:val="00724FA7"/>
    <w:rsid w:val="0072531A"/>
    <w:rsid w:val="00725635"/>
    <w:rsid w:val="00725697"/>
    <w:rsid w:val="00725897"/>
    <w:rsid w:val="00725C24"/>
    <w:rsid w:val="0072603B"/>
    <w:rsid w:val="00726526"/>
    <w:rsid w:val="00726A88"/>
    <w:rsid w:val="00726ABE"/>
    <w:rsid w:val="0072733A"/>
    <w:rsid w:val="00727B08"/>
    <w:rsid w:val="00727BBE"/>
    <w:rsid w:val="00727F92"/>
    <w:rsid w:val="00730434"/>
    <w:rsid w:val="0073047C"/>
    <w:rsid w:val="00730B64"/>
    <w:rsid w:val="00730B83"/>
    <w:rsid w:val="00730C99"/>
    <w:rsid w:val="00730FAD"/>
    <w:rsid w:val="00731511"/>
    <w:rsid w:val="00731694"/>
    <w:rsid w:val="007316D7"/>
    <w:rsid w:val="00731A2B"/>
    <w:rsid w:val="00731E72"/>
    <w:rsid w:val="00731F58"/>
    <w:rsid w:val="00732110"/>
    <w:rsid w:val="00732122"/>
    <w:rsid w:val="00732194"/>
    <w:rsid w:val="007322A5"/>
    <w:rsid w:val="007327D4"/>
    <w:rsid w:val="0073310E"/>
    <w:rsid w:val="007331E7"/>
    <w:rsid w:val="00733388"/>
    <w:rsid w:val="007333FA"/>
    <w:rsid w:val="007337C4"/>
    <w:rsid w:val="00733E19"/>
    <w:rsid w:val="007346F0"/>
    <w:rsid w:val="0073567E"/>
    <w:rsid w:val="00735D03"/>
    <w:rsid w:val="0073610C"/>
    <w:rsid w:val="00736344"/>
    <w:rsid w:val="007364BA"/>
    <w:rsid w:val="007375CC"/>
    <w:rsid w:val="007377C1"/>
    <w:rsid w:val="007378D6"/>
    <w:rsid w:val="00737A4D"/>
    <w:rsid w:val="00740581"/>
    <w:rsid w:val="007407D7"/>
    <w:rsid w:val="007407DD"/>
    <w:rsid w:val="00740D83"/>
    <w:rsid w:val="00740FC1"/>
    <w:rsid w:val="00741F1E"/>
    <w:rsid w:val="007421C7"/>
    <w:rsid w:val="007426BD"/>
    <w:rsid w:val="0074284F"/>
    <w:rsid w:val="007428EE"/>
    <w:rsid w:val="00742CFC"/>
    <w:rsid w:val="00742D08"/>
    <w:rsid w:val="00743635"/>
    <w:rsid w:val="007438E6"/>
    <w:rsid w:val="00743C6A"/>
    <w:rsid w:val="00743F14"/>
    <w:rsid w:val="00744291"/>
    <w:rsid w:val="007444B2"/>
    <w:rsid w:val="00744C09"/>
    <w:rsid w:val="00744CF4"/>
    <w:rsid w:val="00744F22"/>
    <w:rsid w:val="0074533C"/>
    <w:rsid w:val="0074537E"/>
    <w:rsid w:val="00745913"/>
    <w:rsid w:val="00745A06"/>
    <w:rsid w:val="00746118"/>
    <w:rsid w:val="00746540"/>
    <w:rsid w:val="00746D9E"/>
    <w:rsid w:val="00747243"/>
    <w:rsid w:val="0075022A"/>
    <w:rsid w:val="0075068E"/>
    <w:rsid w:val="007511D9"/>
    <w:rsid w:val="0075152E"/>
    <w:rsid w:val="00751754"/>
    <w:rsid w:val="00751DB3"/>
    <w:rsid w:val="007520FE"/>
    <w:rsid w:val="00752D50"/>
    <w:rsid w:val="00752FFF"/>
    <w:rsid w:val="0075320E"/>
    <w:rsid w:val="00753377"/>
    <w:rsid w:val="007534ED"/>
    <w:rsid w:val="0075350A"/>
    <w:rsid w:val="00753E4B"/>
    <w:rsid w:val="00754777"/>
    <w:rsid w:val="0075477F"/>
    <w:rsid w:val="00754954"/>
    <w:rsid w:val="00754B88"/>
    <w:rsid w:val="00754D32"/>
    <w:rsid w:val="00754D76"/>
    <w:rsid w:val="00754DE6"/>
    <w:rsid w:val="00754EA2"/>
    <w:rsid w:val="00755A99"/>
    <w:rsid w:val="00756530"/>
    <w:rsid w:val="0075696C"/>
    <w:rsid w:val="007570C6"/>
    <w:rsid w:val="0075721F"/>
    <w:rsid w:val="00757533"/>
    <w:rsid w:val="00757937"/>
    <w:rsid w:val="00757B19"/>
    <w:rsid w:val="00757D3A"/>
    <w:rsid w:val="007603B2"/>
    <w:rsid w:val="00760EC5"/>
    <w:rsid w:val="007610FC"/>
    <w:rsid w:val="007612E3"/>
    <w:rsid w:val="0076141D"/>
    <w:rsid w:val="007618C1"/>
    <w:rsid w:val="00761CAA"/>
    <w:rsid w:val="00761EB3"/>
    <w:rsid w:val="00761FCE"/>
    <w:rsid w:val="00762373"/>
    <w:rsid w:val="007623A2"/>
    <w:rsid w:val="0076241E"/>
    <w:rsid w:val="00762DF9"/>
    <w:rsid w:val="00763132"/>
    <w:rsid w:val="00763812"/>
    <w:rsid w:val="00763872"/>
    <w:rsid w:val="00763EC9"/>
    <w:rsid w:val="00763F3F"/>
    <w:rsid w:val="0076419D"/>
    <w:rsid w:val="0076450D"/>
    <w:rsid w:val="00764C88"/>
    <w:rsid w:val="0076508F"/>
    <w:rsid w:val="0076545A"/>
    <w:rsid w:val="00765970"/>
    <w:rsid w:val="007660A7"/>
    <w:rsid w:val="0076666E"/>
    <w:rsid w:val="00766723"/>
    <w:rsid w:val="00766C2C"/>
    <w:rsid w:val="00767231"/>
    <w:rsid w:val="00767244"/>
    <w:rsid w:val="007678FA"/>
    <w:rsid w:val="0076794C"/>
    <w:rsid w:val="00770BF5"/>
    <w:rsid w:val="00770DCA"/>
    <w:rsid w:val="0077114C"/>
    <w:rsid w:val="00771245"/>
    <w:rsid w:val="00771413"/>
    <w:rsid w:val="007715A8"/>
    <w:rsid w:val="00771654"/>
    <w:rsid w:val="00771CFD"/>
    <w:rsid w:val="00771FB7"/>
    <w:rsid w:val="00772692"/>
    <w:rsid w:val="007726E3"/>
    <w:rsid w:val="007728FB"/>
    <w:rsid w:val="00772C16"/>
    <w:rsid w:val="00772DA2"/>
    <w:rsid w:val="007736B8"/>
    <w:rsid w:val="00773AD4"/>
    <w:rsid w:val="00773F57"/>
    <w:rsid w:val="007744DA"/>
    <w:rsid w:val="00774672"/>
    <w:rsid w:val="0077471C"/>
    <w:rsid w:val="00774897"/>
    <w:rsid w:val="007749C2"/>
    <w:rsid w:val="00774A60"/>
    <w:rsid w:val="00774E91"/>
    <w:rsid w:val="00774F17"/>
    <w:rsid w:val="007753D2"/>
    <w:rsid w:val="00775C68"/>
    <w:rsid w:val="00776219"/>
    <w:rsid w:val="0077647A"/>
    <w:rsid w:val="0077650A"/>
    <w:rsid w:val="00776BAA"/>
    <w:rsid w:val="00777025"/>
    <w:rsid w:val="00777306"/>
    <w:rsid w:val="00777370"/>
    <w:rsid w:val="007773CD"/>
    <w:rsid w:val="00777408"/>
    <w:rsid w:val="00777559"/>
    <w:rsid w:val="0077765F"/>
    <w:rsid w:val="00777772"/>
    <w:rsid w:val="00777A09"/>
    <w:rsid w:val="00777C66"/>
    <w:rsid w:val="0078037F"/>
    <w:rsid w:val="00780387"/>
    <w:rsid w:val="007805B8"/>
    <w:rsid w:val="0078082A"/>
    <w:rsid w:val="00780AEB"/>
    <w:rsid w:val="00780C41"/>
    <w:rsid w:val="00781407"/>
    <w:rsid w:val="007817F5"/>
    <w:rsid w:val="007818E7"/>
    <w:rsid w:val="00781D2A"/>
    <w:rsid w:val="00782099"/>
    <w:rsid w:val="0078214C"/>
    <w:rsid w:val="00782158"/>
    <w:rsid w:val="00782766"/>
    <w:rsid w:val="007827EC"/>
    <w:rsid w:val="00782AE3"/>
    <w:rsid w:val="0078330A"/>
    <w:rsid w:val="007834AB"/>
    <w:rsid w:val="007835F4"/>
    <w:rsid w:val="0078387A"/>
    <w:rsid w:val="00783A22"/>
    <w:rsid w:val="00783A90"/>
    <w:rsid w:val="00783E73"/>
    <w:rsid w:val="00783F3E"/>
    <w:rsid w:val="00784884"/>
    <w:rsid w:val="00784E77"/>
    <w:rsid w:val="00785015"/>
    <w:rsid w:val="007850B1"/>
    <w:rsid w:val="0078521C"/>
    <w:rsid w:val="0078584B"/>
    <w:rsid w:val="007859E2"/>
    <w:rsid w:val="00785DD2"/>
    <w:rsid w:val="0078706A"/>
    <w:rsid w:val="007870AC"/>
    <w:rsid w:val="007877CD"/>
    <w:rsid w:val="00787906"/>
    <w:rsid w:val="00787B4D"/>
    <w:rsid w:val="00787E11"/>
    <w:rsid w:val="007901ED"/>
    <w:rsid w:val="007902D4"/>
    <w:rsid w:val="00790442"/>
    <w:rsid w:val="00790A52"/>
    <w:rsid w:val="00790C0F"/>
    <w:rsid w:val="00790D99"/>
    <w:rsid w:val="00791496"/>
    <w:rsid w:val="007915CE"/>
    <w:rsid w:val="00791BDC"/>
    <w:rsid w:val="00792184"/>
    <w:rsid w:val="0079220E"/>
    <w:rsid w:val="007928CF"/>
    <w:rsid w:val="00792A5D"/>
    <w:rsid w:val="00792B95"/>
    <w:rsid w:val="00792CBC"/>
    <w:rsid w:val="00792CDD"/>
    <w:rsid w:val="00792E62"/>
    <w:rsid w:val="0079307E"/>
    <w:rsid w:val="0079348C"/>
    <w:rsid w:val="00793BFB"/>
    <w:rsid w:val="00793EE7"/>
    <w:rsid w:val="00793FF3"/>
    <w:rsid w:val="007943E2"/>
    <w:rsid w:val="00794646"/>
    <w:rsid w:val="007950F6"/>
    <w:rsid w:val="0079557A"/>
    <w:rsid w:val="007955FC"/>
    <w:rsid w:val="0079587A"/>
    <w:rsid w:val="00795CDA"/>
    <w:rsid w:val="00795CE6"/>
    <w:rsid w:val="00795F05"/>
    <w:rsid w:val="007965EF"/>
    <w:rsid w:val="00796642"/>
    <w:rsid w:val="007969C7"/>
    <w:rsid w:val="00796AC6"/>
    <w:rsid w:val="007970B3"/>
    <w:rsid w:val="00797230"/>
    <w:rsid w:val="007972D8"/>
    <w:rsid w:val="00797351"/>
    <w:rsid w:val="00797580"/>
    <w:rsid w:val="007975BD"/>
    <w:rsid w:val="007A04F5"/>
    <w:rsid w:val="007A0E2C"/>
    <w:rsid w:val="007A1104"/>
    <w:rsid w:val="007A117F"/>
    <w:rsid w:val="007A1986"/>
    <w:rsid w:val="007A1B19"/>
    <w:rsid w:val="007A2580"/>
    <w:rsid w:val="007A2896"/>
    <w:rsid w:val="007A2CAC"/>
    <w:rsid w:val="007A31D2"/>
    <w:rsid w:val="007A3438"/>
    <w:rsid w:val="007A3B23"/>
    <w:rsid w:val="007A3D9C"/>
    <w:rsid w:val="007A3FDD"/>
    <w:rsid w:val="007A41CF"/>
    <w:rsid w:val="007A4391"/>
    <w:rsid w:val="007A4522"/>
    <w:rsid w:val="007A476F"/>
    <w:rsid w:val="007A47CD"/>
    <w:rsid w:val="007A493D"/>
    <w:rsid w:val="007A49FF"/>
    <w:rsid w:val="007A4F2E"/>
    <w:rsid w:val="007A5153"/>
    <w:rsid w:val="007A5317"/>
    <w:rsid w:val="007A5625"/>
    <w:rsid w:val="007A5744"/>
    <w:rsid w:val="007A5B61"/>
    <w:rsid w:val="007A60DE"/>
    <w:rsid w:val="007A63C4"/>
    <w:rsid w:val="007A66F1"/>
    <w:rsid w:val="007A6A71"/>
    <w:rsid w:val="007A6AFC"/>
    <w:rsid w:val="007A6E21"/>
    <w:rsid w:val="007A7114"/>
    <w:rsid w:val="007A734A"/>
    <w:rsid w:val="007A73BD"/>
    <w:rsid w:val="007A73C8"/>
    <w:rsid w:val="007A7C29"/>
    <w:rsid w:val="007B09BD"/>
    <w:rsid w:val="007B0F53"/>
    <w:rsid w:val="007B1007"/>
    <w:rsid w:val="007B1567"/>
    <w:rsid w:val="007B178F"/>
    <w:rsid w:val="007B18C6"/>
    <w:rsid w:val="007B1E9E"/>
    <w:rsid w:val="007B289A"/>
    <w:rsid w:val="007B3178"/>
    <w:rsid w:val="007B3272"/>
    <w:rsid w:val="007B3350"/>
    <w:rsid w:val="007B33A1"/>
    <w:rsid w:val="007B37A5"/>
    <w:rsid w:val="007B3851"/>
    <w:rsid w:val="007B38F4"/>
    <w:rsid w:val="007B4013"/>
    <w:rsid w:val="007B5035"/>
    <w:rsid w:val="007B52B1"/>
    <w:rsid w:val="007B53E4"/>
    <w:rsid w:val="007B57C0"/>
    <w:rsid w:val="007B591A"/>
    <w:rsid w:val="007B5A39"/>
    <w:rsid w:val="007B5EAD"/>
    <w:rsid w:val="007B6832"/>
    <w:rsid w:val="007B686B"/>
    <w:rsid w:val="007B6B3E"/>
    <w:rsid w:val="007B6D41"/>
    <w:rsid w:val="007B6DF3"/>
    <w:rsid w:val="007B6EF7"/>
    <w:rsid w:val="007B70A4"/>
    <w:rsid w:val="007B7331"/>
    <w:rsid w:val="007B76A1"/>
    <w:rsid w:val="007B7FA0"/>
    <w:rsid w:val="007C002F"/>
    <w:rsid w:val="007C02B1"/>
    <w:rsid w:val="007C054B"/>
    <w:rsid w:val="007C08D4"/>
    <w:rsid w:val="007C0915"/>
    <w:rsid w:val="007C0D66"/>
    <w:rsid w:val="007C0D6F"/>
    <w:rsid w:val="007C0EB3"/>
    <w:rsid w:val="007C1406"/>
    <w:rsid w:val="007C1A08"/>
    <w:rsid w:val="007C1D6C"/>
    <w:rsid w:val="007C1DD4"/>
    <w:rsid w:val="007C20CF"/>
    <w:rsid w:val="007C2BDF"/>
    <w:rsid w:val="007C36BF"/>
    <w:rsid w:val="007C37D7"/>
    <w:rsid w:val="007C3AA5"/>
    <w:rsid w:val="007C3C49"/>
    <w:rsid w:val="007C44C4"/>
    <w:rsid w:val="007C45A2"/>
    <w:rsid w:val="007C548C"/>
    <w:rsid w:val="007C56DF"/>
    <w:rsid w:val="007C57FA"/>
    <w:rsid w:val="007C5D6D"/>
    <w:rsid w:val="007C627F"/>
    <w:rsid w:val="007C680B"/>
    <w:rsid w:val="007C69E4"/>
    <w:rsid w:val="007C6C88"/>
    <w:rsid w:val="007C6E06"/>
    <w:rsid w:val="007C6ED1"/>
    <w:rsid w:val="007C6F13"/>
    <w:rsid w:val="007C714F"/>
    <w:rsid w:val="007C7190"/>
    <w:rsid w:val="007C76E6"/>
    <w:rsid w:val="007C7B09"/>
    <w:rsid w:val="007C7D55"/>
    <w:rsid w:val="007C7FB7"/>
    <w:rsid w:val="007C7FE7"/>
    <w:rsid w:val="007D00EC"/>
    <w:rsid w:val="007D0171"/>
    <w:rsid w:val="007D028D"/>
    <w:rsid w:val="007D06BE"/>
    <w:rsid w:val="007D0750"/>
    <w:rsid w:val="007D0B08"/>
    <w:rsid w:val="007D0C1B"/>
    <w:rsid w:val="007D0C49"/>
    <w:rsid w:val="007D10C6"/>
    <w:rsid w:val="007D13CD"/>
    <w:rsid w:val="007D14C7"/>
    <w:rsid w:val="007D17A7"/>
    <w:rsid w:val="007D195D"/>
    <w:rsid w:val="007D19A5"/>
    <w:rsid w:val="007D1E9B"/>
    <w:rsid w:val="007D247D"/>
    <w:rsid w:val="007D25B0"/>
    <w:rsid w:val="007D2D51"/>
    <w:rsid w:val="007D30EE"/>
    <w:rsid w:val="007D3A4A"/>
    <w:rsid w:val="007D3E80"/>
    <w:rsid w:val="007D3ED5"/>
    <w:rsid w:val="007D4135"/>
    <w:rsid w:val="007D440B"/>
    <w:rsid w:val="007D44DC"/>
    <w:rsid w:val="007D45B6"/>
    <w:rsid w:val="007D49F7"/>
    <w:rsid w:val="007D4C00"/>
    <w:rsid w:val="007D4D61"/>
    <w:rsid w:val="007D4EE8"/>
    <w:rsid w:val="007D5183"/>
    <w:rsid w:val="007D55D2"/>
    <w:rsid w:val="007D5754"/>
    <w:rsid w:val="007D5CB7"/>
    <w:rsid w:val="007D5DB0"/>
    <w:rsid w:val="007D5E8A"/>
    <w:rsid w:val="007D60A2"/>
    <w:rsid w:val="007D620E"/>
    <w:rsid w:val="007D62C5"/>
    <w:rsid w:val="007D642E"/>
    <w:rsid w:val="007D709F"/>
    <w:rsid w:val="007D7767"/>
    <w:rsid w:val="007D77DC"/>
    <w:rsid w:val="007D7E58"/>
    <w:rsid w:val="007E001F"/>
    <w:rsid w:val="007E0538"/>
    <w:rsid w:val="007E05ED"/>
    <w:rsid w:val="007E0C3A"/>
    <w:rsid w:val="007E0C80"/>
    <w:rsid w:val="007E169B"/>
    <w:rsid w:val="007E1774"/>
    <w:rsid w:val="007E1798"/>
    <w:rsid w:val="007E18F9"/>
    <w:rsid w:val="007E1925"/>
    <w:rsid w:val="007E1A66"/>
    <w:rsid w:val="007E233A"/>
    <w:rsid w:val="007E2477"/>
    <w:rsid w:val="007E2A72"/>
    <w:rsid w:val="007E2EE3"/>
    <w:rsid w:val="007E2EEB"/>
    <w:rsid w:val="007E326B"/>
    <w:rsid w:val="007E327B"/>
    <w:rsid w:val="007E394D"/>
    <w:rsid w:val="007E3987"/>
    <w:rsid w:val="007E3C5F"/>
    <w:rsid w:val="007E3E64"/>
    <w:rsid w:val="007E40CB"/>
    <w:rsid w:val="007E41CA"/>
    <w:rsid w:val="007E450D"/>
    <w:rsid w:val="007E478F"/>
    <w:rsid w:val="007E48AA"/>
    <w:rsid w:val="007E4D3C"/>
    <w:rsid w:val="007E4DDA"/>
    <w:rsid w:val="007E4E00"/>
    <w:rsid w:val="007E4EBC"/>
    <w:rsid w:val="007E4FAC"/>
    <w:rsid w:val="007E558A"/>
    <w:rsid w:val="007E5903"/>
    <w:rsid w:val="007E5A2C"/>
    <w:rsid w:val="007E5C8F"/>
    <w:rsid w:val="007E5FF9"/>
    <w:rsid w:val="007E61FB"/>
    <w:rsid w:val="007E6536"/>
    <w:rsid w:val="007E66AE"/>
    <w:rsid w:val="007E7FAD"/>
    <w:rsid w:val="007F0999"/>
    <w:rsid w:val="007F0BF4"/>
    <w:rsid w:val="007F0F62"/>
    <w:rsid w:val="007F12D7"/>
    <w:rsid w:val="007F16BF"/>
    <w:rsid w:val="007F1B65"/>
    <w:rsid w:val="007F1D1B"/>
    <w:rsid w:val="007F21B2"/>
    <w:rsid w:val="007F2FA4"/>
    <w:rsid w:val="007F31C1"/>
    <w:rsid w:val="007F367F"/>
    <w:rsid w:val="007F369A"/>
    <w:rsid w:val="007F3BA9"/>
    <w:rsid w:val="007F3C18"/>
    <w:rsid w:val="007F3D4F"/>
    <w:rsid w:val="007F3E09"/>
    <w:rsid w:val="007F4189"/>
    <w:rsid w:val="007F484A"/>
    <w:rsid w:val="007F4D64"/>
    <w:rsid w:val="007F52AB"/>
    <w:rsid w:val="007F52CC"/>
    <w:rsid w:val="007F5536"/>
    <w:rsid w:val="007F5B37"/>
    <w:rsid w:val="007F64DE"/>
    <w:rsid w:val="007F65F9"/>
    <w:rsid w:val="007F6DA4"/>
    <w:rsid w:val="007F7A74"/>
    <w:rsid w:val="007F7D52"/>
    <w:rsid w:val="0080005B"/>
    <w:rsid w:val="008001C3"/>
    <w:rsid w:val="008002E3"/>
    <w:rsid w:val="00800357"/>
    <w:rsid w:val="00800668"/>
    <w:rsid w:val="00801B15"/>
    <w:rsid w:val="00802196"/>
    <w:rsid w:val="008022EA"/>
    <w:rsid w:val="00802623"/>
    <w:rsid w:val="00802A0D"/>
    <w:rsid w:val="008030BD"/>
    <w:rsid w:val="00803590"/>
    <w:rsid w:val="0080363C"/>
    <w:rsid w:val="00803D55"/>
    <w:rsid w:val="0080409F"/>
    <w:rsid w:val="008044CF"/>
    <w:rsid w:val="00804AC2"/>
    <w:rsid w:val="00805206"/>
    <w:rsid w:val="008052A2"/>
    <w:rsid w:val="00805396"/>
    <w:rsid w:val="0080543F"/>
    <w:rsid w:val="0080551B"/>
    <w:rsid w:val="00805B2F"/>
    <w:rsid w:val="00805BB6"/>
    <w:rsid w:val="00805E98"/>
    <w:rsid w:val="008060BE"/>
    <w:rsid w:val="00806B80"/>
    <w:rsid w:val="00806BE1"/>
    <w:rsid w:val="00807023"/>
    <w:rsid w:val="008073CB"/>
    <w:rsid w:val="008078C2"/>
    <w:rsid w:val="00807B10"/>
    <w:rsid w:val="00810024"/>
    <w:rsid w:val="0081003D"/>
    <w:rsid w:val="008109DB"/>
    <w:rsid w:val="00810AAC"/>
    <w:rsid w:val="00810F1B"/>
    <w:rsid w:val="008112B3"/>
    <w:rsid w:val="00811473"/>
    <w:rsid w:val="0081152E"/>
    <w:rsid w:val="0081197B"/>
    <w:rsid w:val="00811C27"/>
    <w:rsid w:val="0081205E"/>
    <w:rsid w:val="008124F4"/>
    <w:rsid w:val="00812A9D"/>
    <w:rsid w:val="00812F05"/>
    <w:rsid w:val="00812F44"/>
    <w:rsid w:val="008139BF"/>
    <w:rsid w:val="00813C7E"/>
    <w:rsid w:val="00813E46"/>
    <w:rsid w:val="008143E1"/>
    <w:rsid w:val="00814430"/>
    <w:rsid w:val="008145FA"/>
    <w:rsid w:val="00814ACE"/>
    <w:rsid w:val="008151F7"/>
    <w:rsid w:val="00815287"/>
    <w:rsid w:val="0081537A"/>
    <w:rsid w:val="00815620"/>
    <w:rsid w:val="00815F92"/>
    <w:rsid w:val="008160B4"/>
    <w:rsid w:val="00816307"/>
    <w:rsid w:val="008164D6"/>
    <w:rsid w:val="008165E7"/>
    <w:rsid w:val="00816AAD"/>
    <w:rsid w:val="00816F82"/>
    <w:rsid w:val="00817789"/>
    <w:rsid w:val="00817807"/>
    <w:rsid w:val="00817AFB"/>
    <w:rsid w:val="00817E66"/>
    <w:rsid w:val="00817F1D"/>
    <w:rsid w:val="00820617"/>
    <w:rsid w:val="008206B2"/>
    <w:rsid w:val="00820A00"/>
    <w:rsid w:val="00820A36"/>
    <w:rsid w:val="00821129"/>
    <w:rsid w:val="008212E6"/>
    <w:rsid w:val="0082180D"/>
    <w:rsid w:val="00821D1B"/>
    <w:rsid w:val="00821F7B"/>
    <w:rsid w:val="00821FFD"/>
    <w:rsid w:val="008223AC"/>
    <w:rsid w:val="0082355E"/>
    <w:rsid w:val="00823568"/>
    <w:rsid w:val="00823C93"/>
    <w:rsid w:val="00823FEA"/>
    <w:rsid w:val="00824988"/>
    <w:rsid w:val="00824A06"/>
    <w:rsid w:val="00824EE4"/>
    <w:rsid w:val="008252C7"/>
    <w:rsid w:val="008256EE"/>
    <w:rsid w:val="008257A1"/>
    <w:rsid w:val="0082591A"/>
    <w:rsid w:val="00825FD6"/>
    <w:rsid w:val="008260A3"/>
    <w:rsid w:val="008261A3"/>
    <w:rsid w:val="00826511"/>
    <w:rsid w:val="00826E33"/>
    <w:rsid w:val="00826FE8"/>
    <w:rsid w:val="00827267"/>
    <w:rsid w:val="0082726B"/>
    <w:rsid w:val="00827578"/>
    <w:rsid w:val="00827E10"/>
    <w:rsid w:val="00830263"/>
    <w:rsid w:val="00830386"/>
    <w:rsid w:val="00830638"/>
    <w:rsid w:val="00830685"/>
    <w:rsid w:val="008309F9"/>
    <w:rsid w:val="00830B10"/>
    <w:rsid w:val="00830B4F"/>
    <w:rsid w:val="00830BBE"/>
    <w:rsid w:val="00830EE7"/>
    <w:rsid w:val="00831329"/>
    <w:rsid w:val="008315FC"/>
    <w:rsid w:val="00831F6D"/>
    <w:rsid w:val="00832118"/>
    <w:rsid w:val="0083228D"/>
    <w:rsid w:val="00832A56"/>
    <w:rsid w:val="00832C0C"/>
    <w:rsid w:val="00832DC1"/>
    <w:rsid w:val="00832DD9"/>
    <w:rsid w:val="00833003"/>
    <w:rsid w:val="00833A81"/>
    <w:rsid w:val="008341DE"/>
    <w:rsid w:val="0083439B"/>
    <w:rsid w:val="008347C0"/>
    <w:rsid w:val="00834A2D"/>
    <w:rsid w:val="00834B99"/>
    <w:rsid w:val="00834BB6"/>
    <w:rsid w:val="0083513B"/>
    <w:rsid w:val="0083546B"/>
    <w:rsid w:val="0083570B"/>
    <w:rsid w:val="00835721"/>
    <w:rsid w:val="00835992"/>
    <w:rsid w:val="00835C0F"/>
    <w:rsid w:val="00835C4D"/>
    <w:rsid w:val="00835E7C"/>
    <w:rsid w:val="00835F6E"/>
    <w:rsid w:val="00835FA8"/>
    <w:rsid w:val="00836277"/>
    <w:rsid w:val="008367BA"/>
    <w:rsid w:val="00836832"/>
    <w:rsid w:val="00836E44"/>
    <w:rsid w:val="008371D2"/>
    <w:rsid w:val="00837637"/>
    <w:rsid w:val="008376CE"/>
    <w:rsid w:val="00837DE4"/>
    <w:rsid w:val="008401C2"/>
    <w:rsid w:val="00840708"/>
    <w:rsid w:val="008408C7"/>
    <w:rsid w:val="0084108E"/>
    <w:rsid w:val="00841193"/>
    <w:rsid w:val="00841571"/>
    <w:rsid w:val="008417B6"/>
    <w:rsid w:val="008418D0"/>
    <w:rsid w:val="00841951"/>
    <w:rsid w:val="00841BB9"/>
    <w:rsid w:val="00841EF0"/>
    <w:rsid w:val="0084245A"/>
    <w:rsid w:val="0084256E"/>
    <w:rsid w:val="00842631"/>
    <w:rsid w:val="008426D8"/>
    <w:rsid w:val="00842ED2"/>
    <w:rsid w:val="00842FE1"/>
    <w:rsid w:val="0084332C"/>
    <w:rsid w:val="00843673"/>
    <w:rsid w:val="0084377A"/>
    <w:rsid w:val="008438BA"/>
    <w:rsid w:val="00843BBA"/>
    <w:rsid w:val="00843DA5"/>
    <w:rsid w:val="008440A8"/>
    <w:rsid w:val="00844DB9"/>
    <w:rsid w:val="00844EDE"/>
    <w:rsid w:val="00844F42"/>
    <w:rsid w:val="0084524A"/>
    <w:rsid w:val="008453E1"/>
    <w:rsid w:val="008457FC"/>
    <w:rsid w:val="00845ADE"/>
    <w:rsid w:val="008464B7"/>
    <w:rsid w:val="008466AF"/>
    <w:rsid w:val="008466F4"/>
    <w:rsid w:val="00846ADC"/>
    <w:rsid w:val="00846C14"/>
    <w:rsid w:val="00846D28"/>
    <w:rsid w:val="00847021"/>
    <w:rsid w:val="008479B7"/>
    <w:rsid w:val="00847C87"/>
    <w:rsid w:val="00847D29"/>
    <w:rsid w:val="00850249"/>
    <w:rsid w:val="008506EA"/>
    <w:rsid w:val="00850843"/>
    <w:rsid w:val="00850988"/>
    <w:rsid w:val="0085098E"/>
    <w:rsid w:val="00850E7B"/>
    <w:rsid w:val="008512A4"/>
    <w:rsid w:val="008513E7"/>
    <w:rsid w:val="00851536"/>
    <w:rsid w:val="008519F2"/>
    <w:rsid w:val="00851B9F"/>
    <w:rsid w:val="00851C14"/>
    <w:rsid w:val="00851C69"/>
    <w:rsid w:val="00852FD1"/>
    <w:rsid w:val="0085313E"/>
    <w:rsid w:val="00853222"/>
    <w:rsid w:val="008544BB"/>
    <w:rsid w:val="008544C0"/>
    <w:rsid w:val="0085455F"/>
    <w:rsid w:val="0085468A"/>
    <w:rsid w:val="00854B4A"/>
    <w:rsid w:val="00855063"/>
    <w:rsid w:val="00855541"/>
    <w:rsid w:val="00855582"/>
    <w:rsid w:val="00855CCF"/>
    <w:rsid w:val="008561EE"/>
    <w:rsid w:val="00856277"/>
    <w:rsid w:val="00856618"/>
    <w:rsid w:val="00856CEB"/>
    <w:rsid w:val="00856D73"/>
    <w:rsid w:val="00856F15"/>
    <w:rsid w:val="00856F4B"/>
    <w:rsid w:val="00857C3A"/>
    <w:rsid w:val="00857DA6"/>
    <w:rsid w:val="008601BB"/>
    <w:rsid w:val="008603B1"/>
    <w:rsid w:val="008604DA"/>
    <w:rsid w:val="0086063A"/>
    <w:rsid w:val="00860C1E"/>
    <w:rsid w:val="00860D56"/>
    <w:rsid w:val="00860DC6"/>
    <w:rsid w:val="008611FD"/>
    <w:rsid w:val="0086173B"/>
    <w:rsid w:val="008619FB"/>
    <w:rsid w:val="008620C1"/>
    <w:rsid w:val="0086278D"/>
    <w:rsid w:val="00862803"/>
    <w:rsid w:val="00862C5A"/>
    <w:rsid w:val="00862EFE"/>
    <w:rsid w:val="008635B3"/>
    <w:rsid w:val="00863A9F"/>
    <w:rsid w:val="00863B71"/>
    <w:rsid w:val="00863D09"/>
    <w:rsid w:val="00863E93"/>
    <w:rsid w:val="00864237"/>
    <w:rsid w:val="00864790"/>
    <w:rsid w:val="00864F09"/>
    <w:rsid w:val="0086510C"/>
    <w:rsid w:val="008651AC"/>
    <w:rsid w:val="008655A7"/>
    <w:rsid w:val="008660B8"/>
    <w:rsid w:val="00866111"/>
    <w:rsid w:val="0086644B"/>
    <w:rsid w:val="00866500"/>
    <w:rsid w:val="0086652D"/>
    <w:rsid w:val="0086656C"/>
    <w:rsid w:val="0086687A"/>
    <w:rsid w:val="00866AFF"/>
    <w:rsid w:val="00866B69"/>
    <w:rsid w:val="00866C9D"/>
    <w:rsid w:val="00866D7E"/>
    <w:rsid w:val="00867075"/>
    <w:rsid w:val="0086781E"/>
    <w:rsid w:val="0086782A"/>
    <w:rsid w:val="008678C4"/>
    <w:rsid w:val="00867D8E"/>
    <w:rsid w:val="00867E47"/>
    <w:rsid w:val="00870751"/>
    <w:rsid w:val="008707AC"/>
    <w:rsid w:val="00870DBA"/>
    <w:rsid w:val="00870F31"/>
    <w:rsid w:val="00870F54"/>
    <w:rsid w:val="00871CC5"/>
    <w:rsid w:val="00871EEB"/>
    <w:rsid w:val="0087287B"/>
    <w:rsid w:val="00872B5E"/>
    <w:rsid w:val="00872E58"/>
    <w:rsid w:val="0087320D"/>
    <w:rsid w:val="00873279"/>
    <w:rsid w:val="00873BED"/>
    <w:rsid w:val="00873C4D"/>
    <w:rsid w:val="00873E86"/>
    <w:rsid w:val="008741CC"/>
    <w:rsid w:val="00874395"/>
    <w:rsid w:val="00874491"/>
    <w:rsid w:val="00874541"/>
    <w:rsid w:val="00874CB0"/>
    <w:rsid w:val="00874F4E"/>
    <w:rsid w:val="00875005"/>
    <w:rsid w:val="00875752"/>
    <w:rsid w:val="00875E8D"/>
    <w:rsid w:val="008762F8"/>
    <w:rsid w:val="00876788"/>
    <w:rsid w:val="00876A4C"/>
    <w:rsid w:val="00876ED3"/>
    <w:rsid w:val="00876F41"/>
    <w:rsid w:val="008770B7"/>
    <w:rsid w:val="008771BF"/>
    <w:rsid w:val="00877BA9"/>
    <w:rsid w:val="008801E8"/>
    <w:rsid w:val="00880208"/>
    <w:rsid w:val="008803AD"/>
    <w:rsid w:val="00880854"/>
    <w:rsid w:val="0088088C"/>
    <w:rsid w:val="00880ECC"/>
    <w:rsid w:val="00881138"/>
    <w:rsid w:val="00881153"/>
    <w:rsid w:val="008811FA"/>
    <w:rsid w:val="0088120F"/>
    <w:rsid w:val="00881222"/>
    <w:rsid w:val="0088135F"/>
    <w:rsid w:val="008813EC"/>
    <w:rsid w:val="0088142D"/>
    <w:rsid w:val="008815E8"/>
    <w:rsid w:val="00881854"/>
    <w:rsid w:val="008818D6"/>
    <w:rsid w:val="00881ECC"/>
    <w:rsid w:val="008823B5"/>
    <w:rsid w:val="008823BB"/>
    <w:rsid w:val="008825F7"/>
    <w:rsid w:val="00882CB6"/>
    <w:rsid w:val="00882E36"/>
    <w:rsid w:val="008830D3"/>
    <w:rsid w:val="008834FC"/>
    <w:rsid w:val="00883640"/>
    <w:rsid w:val="00883782"/>
    <w:rsid w:val="0088407E"/>
    <w:rsid w:val="00884596"/>
    <w:rsid w:val="00884E15"/>
    <w:rsid w:val="00884FAB"/>
    <w:rsid w:val="00885031"/>
    <w:rsid w:val="008855AD"/>
    <w:rsid w:val="00885BD7"/>
    <w:rsid w:val="00885E03"/>
    <w:rsid w:val="008860CB"/>
    <w:rsid w:val="008863B5"/>
    <w:rsid w:val="008871B5"/>
    <w:rsid w:val="0088728B"/>
    <w:rsid w:val="008872F5"/>
    <w:rsid w:val="00887390"/>
    <w:rsid w:val="00887578"/>
    <w:rsid w:val="00887A30"/>
    <w:rsid w:val="00890011"/>
    <w:rsid w:val="008906F1"/>
    <w:rsid w:val="00890CE7"/>
    <w:rsid w:val="00891902"/>
    <w:rsid w:val="00891B5C"/>
    <w:rsid w:val="00891B70"/>
    <w:rsid w:val="00891D65"/>
    <w:rsid w:val="00892AC9"/>
    <w:rsid w:val="00892C9F"/>
    <w:rsid w:val="0089308B"/>
    <w:rsid w:val="00893CE0"/>
    <w:rsid w:val="00893EB5"/>
    <w:rsid w:val="00894008"/>
    <w:rsid w:val="0089411C"/>
    <w:rsid w:val="008941E2"/>
    <w:rsid w:val="008945BD"/>
    <w:rsid w:val="00894751"/>
    <w:rsid w:val="008949F8"/>
    <w:rsid w:val="00894B26"/>
    <w:rsid w:val="00894E22"/>
    <w:rsid w:val="008951A1"/>
    <w:rsid w:val="00895493"/>
    <w:rsid w:val="00895ABC"/>
    <w:rsid w:val="00895CF5"/>
    <w:rsid w:val="00895D25"/>
    <w:rsid w:val="00895EC2"/>
    <w:rsid w:val="00895EDE"/>
    <w:rsid w:val="008963BC"/>
    <w:rsid w:val="00896635"/>
    <w:rsid w:val="008966C0"/>
    <w:rsid w:val="00896C62"/>
    <w:rsid w:val="00897427"/>
    <w:rsid w:val="00897DEF"/>
    <w:rsid w:val="00897EB3"/>
    <w:rsid w:val="008A002F"/>
    <w:rsid w:val="008A0030"/>
    <w:rsid w:val="008A0066"/>
    <w:rsid w:val="008A01C3"/>
    <w:rsid w:val="008A02AB"/>
    <w:rsid w:val="008A096B"/>
    <w:rsid w:val="008A0998"/>
    <w:rsid w:val="008A0B1D"/>
    <w:rsid w:val="008A14C3"/>
    <w:rsid w:val="008A1C36"/>
    <w:rsid w:val="008A2551"/>
    <w:rsid w:val="008A2E1A"/>
    <w:rsid w:val="008A2EBB"/>
    <w:rsid w:val="008A32AA"/>
    <w:rsid w:val="008A3F13"/>
    <w:rsid w:val="008A45AA"/>
    <w:rsid w:val="008A49DF"/>
    <w:rsid w:val="008A5294"/>
    <w:rsid w:val="008A63BF"/>
    <w:rsid w:val="008A6535"/>
    <w:rsid w:val="008A65F2"/>
    <w:rsid w:val="008A66B0"/>
    <w:rsid w:val="008A674E"/>
    <w:rsid w:val="008A677D"/>
    <w:rsid w:val="008A6E2D"/>
    <w:rsid w:val="008A7B75"/>
    <w:rsid w:val="008B014A"/>
    <w:rsid w:val="008B04DD"/>
    <w:rsid w:val="008B0666"/>
    <w:rsid w:val="008B09B1"/>
    <w:rsid w:val="008B0AF7"/>
    <w:rsid w:val="008B1302"/>
    <w:rsid w:val="008B1349"/>
    <w:rsid w:val="008B1434"/>
    <w:rsid w:val="008B1460"/>
    <w:rsid w:val="008B1747"/>
    <w:rsid w:val="008B17D5"/>
    <w:rsid w:val="008B1C33"/>
    <w:rsid w:val="008B1E65"/>
    <w:rsid w:val="008B1F27"/>
    <w:rsid w:val="008B208C"/>
    <w:rsid w:val="008B24F9"/>
    <w:rsid w:val="008B25E0"/>
    <w:rsid w:val="008B27A3"/>
    <w:rsid w:val="008B27F4"/>
    <w:rsid w:val="008B2B20"/>
    <w:rsid w:val="008B2B87"/>
    <w:rsid w:val="008B3480"/>
    <w:rsid w:val="008B3BD3"/>
    <w:rsid w:val="008B3C1C"/>
    <w:rsid w:val="008B4109"/>
    <w:rsid w:val="008B41EF"/>
    <w:rsid w:val="008B468F"/>
    <w:rsid w:val="008B4741"/>
    <w:rsid w:val="008B479A"/>
    <w:rsid w:val="008B4D1E"/>
    <w:rsid w:val="008B4DA7"/>
    <w:rsid w:val="008B53E0"/>
    <w:rsid w:val="008B57C0"/>
    <w:rsid w:val="008B5C5B"/>
    <w:rsid w:val="008B5E9E"/>
    <w:rsid w:val="008B64F1"/>
    <w:rsid w:val="008B679E"/>
    <w:rsid w:val="008B6C2D"/>
    <w:rsid w:val="008B743A"/>
    <w:rsid w:val="008B750E"/>
    <w:rsid w:val="008B774D"/>
    <w:rsid w:val="008B77D5"/>
    <w:rsid w:val="008B7A97"/>
    <w:rsid w:val="008B7D2C"/>
    <w:rsid w:val="008B7E8C"/>
    <w:rsid w:val="008C050F"/>
    <w:rsid w:val="008C0C5E"/>
    <w:rsid w:val="008C102F"/>
    <w:rsid w:val="008C12D7"/>
    <w:rsid w:val="008C13F5"/>
    <w:rsid w:val="008C16BF"/>
    <w:rsid w:val="008C195B"/>
    <w:rsid w:val="008C1D5E"/>
    <w:rsid w:val="008C2123"/>
    <w:rsid w:val="008C218D"/>
    <w:rsid w:val="008C24C9"/>
    <w:rsid w:val="008C265B"/>
    <w:rsid w:val="008C2AEF"/>
    <w:rsid w:val="008C2D4D"/>
    <w:rsid w:val="008C2EAC"/>
    <w:rsid w:val="008C2F54"/>
    <w:rsid w:val="008C3835"/>
    <w:rsid w:val="008C3843"/>
    <w:rsid w:val="008C3C47"/>
    <w:rsid w:val="008C3F70"/>
    <w:rsid w:val="008C4400"/>
    <w:rsid w:val="008C444D"/>
    <w:rsid w:val="008C46D5"/>
    <w:rsid w:val="008C47DE"/>
    <w:rsid w:val="008C4889"/>
    <w:rsid w:val="008C4C1F"/>
    <w:rsid w:val="008C4D06"/>
    <w:rsid w:val="008C4EE9"/>
    <w:rsid w:val="008C5318"/>
    <w:rsid w:val="008C5470"/>
    <w:rsid w:val="008C5522"/>
    <w:rsid w:val="008C565F"/>
    <w:rsid w:val="008C57E4"/>
    <w:rsid w:val="008C589D"/>
    <w:rsid w:val="008C60A3"/>
    <w:rsid w:val="008C6474"/>
    <w:rsid w:val="008C650B"/>
    <w:rsid w:val="008C65AF"/>
    <w:rsid w:val="008C6725"/>
    <w:rsid w:val="008C6B06"/>
    <w:rsid w:val="008C6D6D"/>
    <w:rsid w:val="008C7002"/>
    <w:rsid w:val="008C7236"/>
    <w:rsid w:val="008C7378"/>
    <w:rsid w:val="008C7447"/>
    <w:rsid w:val="008C7A0B"/>
    <w:rsid w:val="008C7E9A"/>
    <w:rsid w:val="008D02E8"/>
    <w:rsid w:val="008D0678"/>
    <w:rsid w:val="008D1169"/>
    <w:rsid w:val="008D11D2"/>
    <w:rsid w:val="008D1289"/>
    <w:rsid w:val="008D181E"/>
    <w:rsid w:val="008D1D30"/>
    <w:rsid w:val="008D1F3C"/>
    <w:rsid w:val="008D2030"/>
    <w:rsid w:val="008D2400"/>
    <w:rsid w:val="008D3046"/>
    <w:rsid w:val="008D31D3"/>
    <w:rsid w:val="008D397B"/>
    <w:rsid w:val="008D3B81"/>
    <w:rsid w:val="008D3DE2"/>
    <w:rsid w:val="008D3F20"/>
    <w:rsid w:val="008D3FE0"/>
    <w:rsid w:val="008D47D4"/>
    <w:rsid w:val="008D4966"/>
    <w:rsid w:val="008D4CF9"/>
    <w:rsid w:val="008D4E4E"/>
    <w:rsid w:val="008D4FB5"/>
    <w:rsid w:val="008D558E"/>
    <w:rsid w:val="008D5825"/>
    <w:rsid w:val="008D587A"/>
    <w:rsid w:val="008D5A9B"/>
    <w:rsid w:val="008D5C46"/>
    <w:rsid w:val="008D660F"/>
    <w:rsid w:val="008D6761"/>
    <w:rsid w:val="008D74E4"/>
    <w:rsid w:val="008D75AC"/>
    <w:rsid w:val="008D7686"/>
    <w:rsid w:val="008D7B0C"/>
    <w:rsid w:val="008D7E1F"/>
    <w:rsid w:val="008D7F1F"/>
    <w:rsid w:val="008E0175"/>
    <w:rsid w:val="008E01B4"/>
    <w:rsid w:val="008E0560"/>
    <w:rsid w:val="008E072C"/>
    <w:rsid w:val="008E0911"/>
    <w:rsid w:val="008E0A5F"/>
    <w:rsid w:val="008E1063"/>
    <w:rsid w:val="008E11FB"/>
    <w:rsid w:val="008E1D49"/>
    <w:rsid w:val="008E1F4A"/>
    <w:rsid w:val="008E230A"/>
    <w:rsid w:val="008E2EB7"/>
    <w:rsid w:val="008E3716"/>
    <w:rsid w:val="008E37BF"/>
    <w:rsid w:val="008E3A7C"/>
    <w:rsid w:val="008E3FF0"/>
    <w:rsid w:val="008E4037"/>
    <w:rsid w:val="008E42DF"/>
    <w:rsid w:val="008E4CD5"/>
    <w:rsid w:val="008E50BA"/>
    <w:rsid w:val="008E50F9"/>
    <w:rsid w:val="008E53E1"/>
    <w:rsid w:val="008E54A6"/>
    <w:rsid w:val="008E5CC3"/>
    <w:rsid w:val="008E5D85"/>
    <w:rsid w:val="008E5ED6"/>
    <w:rsid w:val="008E5FF7"/>
    <w:rsid w:val="008E6118"/>
    <w:rsid w:val="008E67D0"/>
    <w:rsid w:val="008E6CDC"/>
    <w:rsid w:val="008E7348"/>
    <w:rsid w:val="008E7707"/>
    <w:rsid w:val="008E7A98"/>
    <w:rsid w:val="008F09A6"/>
    <w:rsid w:val="008F0D7E"/>
    <w:rsid w:val="008F1167"/>
    <w:rsid w:val="008F12B3"/>
    <w:rsid w:val="008F1A13"/>
    <w:rsid w:val="008F1CF2"/>
    <w:rsid w:val="008F1DFC"/>
    <w:rsid w:val="008F2075"/>
    <w:rsid w:val="008F20DA"/>
    <w:rsid w:val="008F2749"/>
    <w:rsid w:val="008F28B9"/>
    <w:rsid w:val="008F2D8B"/>
    <w:rsid w:val="008F2EEC"/>
    <w:rsid w:val="008F30C4"/>
    <w:rsid w:val="008F3385"/>
    <w:rsid w:val="008F349B"/>
    <w:rsid w:val="008F356E"/>
    <w:rsid w:val="008F36CC"/>
    <w:rsid w:val="008F36F3"/>
    <w:rsid w:val="008F3B0E"/>
    <w:rsid w:val="008F40AB"/>
    <w:rsid w:val="008F40E3"/>
    <w:rsid w:val="008F42AA"/>
    <w:rsid w:val="008F44B1"/>
    <w:rsid w:val="008F4AB2"/>
    <w:rsid w:val="008F4C14"/>
    <w:rsid w:val="008F4F5D"/>
    <w:rsid w:val="008F509A"/>
    <w:rsid w:val="008F527B"/>
    <w:rsid w:val="008F542E"/>
    <w:rsid w:val="008F5A4A"/>
    <w:rsid w:val="008F5D6B"/>
    <w:rsid w:val="008F5E45"/>
    <w:rsid w:val="008F5FBE"/>
    <w:rsid w:val="008F6029"/>
    <w:rsid w:val="008F6176"/>
    <w:rsid w:val="008F6284"/>
    <w:rsid w:val="008F6621"/>
    <w:rsid w:val="008F67A9"/>
    <w:rsid w:val="008F67F0"/>
    <w:rsid w:val="008F68D6"/>
    <w:rsid w:val="008F720A"/>
    <w:rsid w:val="008F74D8"/>
    <w:rsid w:val="008F7624"/>
    <w:rsid w:val="008F7A5E"/>
    <w:rsid w:val="008F7C49"/>
    <w:rsid w:val="00900121"/>
    <w:rsid w:val="00900286"/>
    <w:rsid w:val="00900D68"/>
    <w:rsid w:val="00901215"/>
    <w:rsid w:val="00901E88"/>
    <w:rsid w:val="009025BB"/>
    <w:rsid w:val="009029EE"/>
    <w:rsid w:val="00902E0A"/>
    <w:rsid w:val="0090300D"/>
    <w:rsid w:val="0090340C"/>
    <w:rsid w:val="00903541"/>
    <w:rsid w:val="00903629"/>
    <w:rsid w:val="00903BB1"/>
    <w:rsid w:val="00903C44"/>
    <w:rsid w:val="0090404B"/>
    <w:rsid w:val="0090445F"/>
    <w:rsid w:val="00904526"/>
    <w:rsid w:val="009045C8"/>
    <w:rsid w:val="0090475C"/>
    <w:rsid w:val="009052E1"/>
    <w:rsid w:val="0090566D"/>
    <w:rsid w:val="00905751"/>
    <w:rsid w:val="0090582F"/>
    <w:rsid w:val="0090595A"/>
    <w:rsid w:val="00905A99"/>
    <w:rsid w:val="00905B47"/>
    <w:rsid w:val="00905DD4"/>
    <w:rsid w:val="00906110"/>
    <w:rsid w:val="009061F2"/>
    <w:rsid w:val="009066B9"/>
    <w:rsid w:val="009068DA"/>
    <w:rsid w:val="00906BA8"/>
    <w:rsid w:val="00906F9A"/>
    <w:rsid w:val="00907078"/>
    <w:rsid w:val="009071BA"/>
    <w:rsid w:val="009075EC"/>
    <w:rsid w:val="009076C4"/>
    <w:rsid w:val="009077A7"/>
    <w:rsid w:val="00907818"/>
    <w:rsid w:val="00907B2B"/>
    <w:rsid w:val="00907BA4"/>
    <w:rsid w:val="00907E1C"/>
    <w:rsid w:val="0091062D"/>
    <w:rsid w:val="00910B2A"/>
    <w:rsid w:val="00910B5B"/>
    <w:rsid w:val="00910DDF"/>
    <w:rsid w:val="00910EE3"/>
    <w:rsid w:val="00911602"/>
    <w:rsid w:val="009116F7"/>
    <w:rsid w:val="00911A27"/>
    <w:rsid w:val="00911A82"/>
    <w:rsid w:val="00911C6F"/>
    <w:rsid w:val="00911D75"/>
    <w:rsid w:val="009122BE"/>
    <w:rsid w:val="0091287E"/>
    <w:rsid w:val="00912BD1"/>
    <w:rsid w:val="00912BE6"/>
    <w:rsid w:val="0091357F"/>
    <w:rsid w:val="009137BB"/>
    <w:rsid w:val="009139B6"/>
    <w:rsid w:val="00913AB8"/>
    <w:rsid w:val="009141B0"/>
    <w:rsid w:val="0091455C"/>
    <w:rsid w:val="009146C8"/>
    <w:rsid w:val="00914722"/>
    <w:rsid w:val="009150B6"/>
    <w:rsid w:val="0091528E"/>
    <w:rsid w:val="009156CF"/>
    <w:rsid w:val="009156EB"/>
    <w:rsid w:val="0091573F"/>
    <w:rsid w:val="0091574D"/>
    <w:rsid w:val="009157F7"/>
    <w:rsid w:val="00915888"/>
    <w:rsid w:val="009159E1"/>
    <w:rsid w:val="00915B6A"/>
    <w:rsid w:val="00915E04"/>
    <w:rsid w:val="00915F7F"/>
    <w:rsid w:val="009162F0"/>
    <w:rsid w:val="00916827"/>
    <w:rsid w:val="00916D9D"/>
    <w:rsid w:val="0091709F"/>
    <w:rsid w:val="00917468"/>
    <w:rsid w:val="00917511"/>
    <w:rsid w:val="00917B22"/>
    <w:rsid w:val="00917BF5"/>
    <w:rsid w:val="00917C3E"/>
    <w:rsid w:val="00917E61"/>
    <w:rsid w:val="00917E65"/>
    <w:rsid w:val="00917F9B"/>
    <w:rsid w:val="00920206"/>
    <w:rsid w:val="009203C9"/>
    <w:rsid w:val="00920451"/>
    <w:rsid w:val="009205C0"/>
    <w:rsid w:val="0092072F"/>
    <w:rsid w:val="009208D4"/>
    <w:rsid w:val="009210B3"/>
    <w:rsid w:val="009211F4"/>
    <w:rsid w:val="009211FB"/>
    <w:rsid w:val="00921320"/>
    <w:rsid w:val="009213C2"/>
    <w:rsid w:val="00921518"/>
    <w:rsid w:val="00921A35"/>
    <w:rsid w:val="00921E4B"/>
    <w:rsid w:val="0092212A"/>
    <w:rsid w:val="009224F4"/>
    <w:rsid w:val="00922745"/>
    <w:rsid w:val="0092274D"/>
    <w:rsid w:val="0092297C"/>
    <w:rsid w:val="009232D1"/>
    <w:rsid w:val="00923A7D"/>
    <w:rsid w:val="00923B4C"/>
    <w:rsid w:val="00923D71"/>
    <w:rsid w:val="009240DA"/>
    <w:rsid w:val="0092445C"/>
    <w:rsid w:val="009245E8"/>
    <w:rsid w:val="009247A0"/>
    <w:rsid w:val="009248D8"/>
    <w:rsid w:val="009249BA"/>
    <w:rsid w:val="00924DDD"/>
    <w:rsid w:val="00924E3F"/>
    <w:rsid w:val="009253ED"/>
    <w:rsid w:val="009259B3"/>
    <w:rsid w:val="00925D24"/>
    <w:rsid w:val="00926280"/>
    <w:rsid w:val="0092643B"/>
    <w:rsid w:val="009268CB"/>
    <w:rsid w:val="009271AE"/>
    <w:rsid w:val="009273B3"/>
    <w:rsid w:val="009275CA"/>
    <w:rsid w:val="009275E9"/>
    <w:rsid w:val="00927A37"/>
    <w:rsid w:val="00927D5E"/>
    <w:rsid w:val="00930171"/>
    <w:rsid w:val="00930499"/>
    <w:rsid w:val="0093068F"/>
    <w:rsid w:val="0093071F"/>
    <w:rsid w:val="00930C1B"/>
    <w:rsid w:val="00930D58"/>
    <w:rsid w:val="009314AD"/>
    <w:rsid w:val="00931AFB"/>
    <w:rsid w:val="00931C48"/>
    <w:rsid w:val="00931E6E"/>
    <w:rsid w:val="009321C2"/>
    <w:rsid w:val="00932531"/>
    <w:rsid w:val="00932762"/>
    <w:rsid w:val="0093279E"/>
    <w:rsid w:val="00932884"/>
    <w:rsid w:val="00932AA3"/>
    <w:rsid w:val="00932CA0"/>
    <w:rsid w:val="00933066"/>
    <w:rsid w:val="009335F5"/>
    <w:rsid w:val="00933781"/>
    <w:rsid w:val="009339E4"/>
    <w:rsid w:val="009346D6"/>
    <w:rsid w:val="0093473E"/>
    <w:rsid w:val="00934C39"/>
    <w:rsid w:val="00934F6B"/>
    <w:rsid w:val="00935A9F"/>
    <w:rsid w:val="00935BED"/>
    <w:rsid w:val="00935DAA"/>
    <w:rsid w:val="00935FEF"/>
    <w:rsid w:val="009361E3"/>
    <w:rsid w:val="00936661"/>
    <w:rsid w:val="00936D80"/>
    <w:rsid w:val="009373D8"/>
    <w:rsid w:val="00937C61"/>
    <w:rsid w:val="00937CFF"/>
    <w:rsid w:val="009403E8"/>
    <w:rsid w:val="00940431"/>
    <w:rsid w:val="009411BF"/>
    <w:rsid w:val="00941253"/>
    <w:rsid w:val="0094158B"/>
    <w:rsid w:val="0094192F"/>
    <w:rsid w:val="00941933"/>
    <w:rsid w:val="009421BC"/>
    <w:rsid w:val="009421D5"/>
    <w:rsid w:val="00942844"/>
    <w:rsid w:val="00942A7E"/>
    <w:rsid w:val="00942DF9"/>
    <w:rsid w:val="00943219"/>
    <w:rsid w:val="00943283"/>
    <w:rsid w:val="00943636"/>
    <w:rsid w:val="00943BA7"/>
    <w:rsid w:val="00943BB9"/>
    <w:rsid w:val="00943BE2"/>
    <w:rsid w:val="00943D0B"/>
    <w:rsid w:val="009441E0"/>
    <w:rsid w:val="0094445F"/>
    <w:rsid w:val="009448B7"/>
    <w:rsid w:val="009449B9"/>
    <w:rsid w:val="00944EED"/>
    <w:rsid w:val="00944F98"/>
    <w:rsid w:val="009450E0"/>
    <w:rsid w:val="0094556C"/>
    <w:rsid w:val="009456B6"/>
    <w:rsid w:val="00945A63"/>
    <w:rsid w:val="00945C21"/>
    <w:rsid w:val="00945FB6"/>
    <w:rsid w:val="009462DA"/>
    <w:rsid w:val="009467D6"/>
    <w:rsid w:val="00946AB3"/>
    <w:rsid w:val="00946FCA"/>
    <w:rsid w:val="00947335"/>
    <w:rsid w:val="00947EA3"/>
    <w:rsid w:val="0095011E"/>
    <w:rsid w:val="00950538"/>
    <w:rsid w:val="00950703"/>
    <w:rsid w:val="00950859"/>
    <w:rsid w:val="00950ED1"/>
    <w:rsid w:val="00951105"/>
    <w:rsid w:val="00951886"/>
    <w:rsid w:val="009519AD"/>
    <w:rsid w:val="009522CA"/>
    <w:rsid w:val="00952356"/>
    <w:rsid w:val="009524E7"/>
    <w:rsid w:val="0095301D"/>
    <w:rsid w:val="0095379A"/>
    <w:rsid w:val="00953F02"/>
    <w:rsid w:val="009541A7"/>
    <w:rsid w:val="009541BE"/>
    <w:rsid w:val="00954CC1"/>
    <w:rsid w:val="00954E14"/>
    <w:rsid w:val="00954FE0"/>
    <w:rsid w:val="0095509F"/>
    <w:rsid w:val="00955118"/>
    <w:rsid w:val="00955317"/>
    <w:rsid w:val="00955CC8"/>
    <w:rsid w:val="00955F3F"/>
    <w:rsid w:val="009560A9"/>
    <w:rsid w:val="0095638E"/>
    <w:rsid w:val="00956995"/>
    <w:rsid w:val="00956B19"/>
    <w:rsid w:val="00956D91"/>
    <w:rsid w:val="00956EA6"/>
    <w:rsid w:val="00957009"/>
    <w:rsid w:val="009573AC"/>
    <w:rsid w:val="0095775A"/>
    <w:rsid w:val="00957A1A"/>
    <w:rsid w:val="00957C71"/>
    <w:rsid w:val="00957DDC"/>
    <w:rsid w:val="009604D6"/>
    <w:rsid w:val="0096051C"/>
    <w:rsid w:val="009606C4"/>
    <w:rsid w:val="0096073C"/>
    <w:rsid w:val="0096075F"/>
    <w:rsid w:val="0096086F"/>
    <w:rsid w:val="00960884"/>
    <w:rsid w:val="00960D44"/>
    <w:rsid w:val="00960E5A"/>
    <w:rsid w:val="0096149C"/>
    <w:rsid w:val="00961DC0"/>
    <w:rsid w:val="00961E84"/>
    <w:rsid w:val="009623EC"/>
    <w:rsid w:val="00962756"/>
    <w:rsid w:val="00962C05"/>
    <w:rsid w:val="00963229"/>
    <w:rsid w:val="0096362D"/>
    <w:rsid w:val="009636FC"/>
    <w:rsid w:val="00963C34"/>
    <w:rsid w:val="00964330"/>
    <w:rsid w:val="0096439D"/>
    <w:rsid w:val="00964662"/>
    <w:rsid w:val="0096467F"/>
    <w:rsid w:val="00964E7B"/>
    <w:rsid w:val="00965166"/>
    <w:rsid w:val="0096551E"/>
    <w:rsid w:val="00965897"/>
    <w:rsid w:val="00965AA3"/>
    <w:rsid w:val="00965DBF"/>
    <w:rsid w:val="00965EEB"/>
    <w:rsid w:val="00965FE7"/>
    <w:rsid w:val="00966091"/>
    <w:rsid w:val="009662E0"/>
    <w:rsid w:val="0096650F"/>
    <w:rsid w:val="009667BE"/>
    <w:rsid w:val="00966BA7"/>
    <w:rsid w:val="00966F02"/>
    <w:rsid w:val="00967072"/>
    <w:rsid w:val="00967645"/>
    <w:rsid w:val="00967ECB"/>
    <w:rsid w:val="0097037C"/>
    <w:rsid w:val="00970457"/>
    <w:rsid w:val="009704E2"/>
    <w:rsid w:val="00971211"/>
    <w:rsid w:val="0097196B"/>
    <w:rsid w:val="009719F1"/>
    <w:rsid w:val="00971A8E"/>
    <w:rsid w:val="00971D0A"/>
    <w:rsid w:val="00972159"/>
    <w:rsid w:val="00972306"/>
    <w:rsid w:val="00972488"/>
    <w:rsid w:val="00972D2A"/>
    <w:rsid w:val="0097381E"/>
    <w:rsid w:val="00973A6D"/>
    <w:rsid w:val="00973AED"/>
    <w:rsid w:val="00973B04"/>
    <w:rsid w:val="00973EB2"/>
    <w:rsid w:val="0097428D"/>
    <w:rsid w:val="009745BC"/>
    <w:rsid w:val="00974614"/>
    <w:rsid w:val="00974CB3"/>
    <w:rsid w:val="00974FE1"/>
    <w:rsid w:val="00975342"/>
    <w:rsid w:val="009753D1"/>
    <w:rsid w:val="009754C8"/>
    <w:rsid w:val="00975A98"/>
    <w:rsid w:val="00975CA1"/>
    <w:rsid w:val="00976153"/>
    <w:rsid w:val="00976355"/>
    <w:rsid w:val="009768AC"/>
    <w:rsid w:val="00976A90"/>
    <w:rsid w:val="00976BE4"/>
    <w:rsid w:val="00976D32"/>
    <w:rsid w:val="00976F1F"/>
    <w:rsid w:val="00977155"/>
    <w:rsid w:val="00977319"/>
    <w:rsid w:val="009774BA"/>
    <w:rsid w:val="009775D9"/>
    <w:rsid w:val="0097760C"/>
    <w:rsid w:val="009776D2"/>
    <w:rsid w:val="00977C1A"/>
    <w:rsid w:val="009802BE"/>
    <w:rsid w:val="0098078E"/>
    <w:rsid w:val="009807C2"/>
    <w:rsid w:val="00980933"/>
    <w:rsid w:val="009809BF"/>
    <w:rsid w:val="00980A2E"/>
    <w:rsid w:val="009811C4"/>
    <w:rsid w:val="00981396"/>
    <w:rsid w:val="009815DC"/>
    <w:rsid w:val="009818C2"/>
    <w:rsid w:val="0098216D"/>
    <w:rsid w:val="009821C2"/>
    <w:rsid w:val="00982481"/>
    <w:rsid w:val="00982788"/>
    <w:rsid w:val="00982A71"/>
    <w:rsid w:val="00982ECA"/>
    <w:rsid w:val="009832B0"/>
    <w:rsid w:val="009834A7"/>
    <w:rsid w:val="0098377D"/>
    <w:rsid w:val="00983900"/>
    <w:rsid w:val="00984624"/>
    <w:rsid w:val="00984904"/>
    <w:rsid w:val="00985277"/>
    <w:rsid w:val="0098573F"/>
    <w:rsid w:val="00985A15"/>
    <w:rsid w:val="00985B22"/>
    <w:rsid w:val="00985D95"/>
    <w:rsid w:val="00985DCF"/>
    <w:rsid w:val="009864A7"/>
    <w:rsid w:val="0098663A"/>
    <w:rsid w:val="0098716C"/>
    <w:rsid w:val="00987234"/>
    <w:rsid w:val="009872F2"/>
    <w:rsid w:val="00987863"/>
    <w:rsid w:val="009878F3"/>
    <w:rsid w:val="00987A42"/>
    <w:rsid w:val="0099023B"/>
    <w:rsid w:val="009903BB"/>
    <w:rsid w:val="00990947"/>
    <w:rsid w:val="00990B9E"/>
    <w:rsid w:val="00990F10"/>
    <w:rsid w:val="009910E9"/>
    <w:rsid w:val="00991332"/>
    <w:rsid w:val="009914D7"/>
    <w:rsid w:val="009915DE"/>
    <w:rsid w:val="0099176A"/>
    <w:rsid w:val="00991779"/>
    <w:rsid w:val="00991935"/>
    <w:rsid w:val="00992315"/>
    <w:rsid w:val="0099298A"/>
    <w:rsid w:val="00993020"/>
    <w:rsid w:val="00993307"/>
    <w:rsid w:val="00993730"/>
    <w:rsid w:val="00993ACF"/>
    <w:rsid w:val="00993CD4"/>
    <w:rsid w:val="00993E13"/>
    <w:rsid w:val="00993E14"/>
    <w:rsid w:val="00993FCF"/>
    <w:rsid w:val="00994571"/>
    <w:rsid w:val="009946B2"/>
    <w:rsid w:val="009947DF"/>
    <w:rsid w:val="00994814"/>
    <w:rsid w:val="00994927"/>
    <w:rsid w:val="00994AAF"/>
    <w:rsid w:val="00994E98"/>
    <w:rsid w:val="00994EB3"/>
    <w:rsid w:val="0099513F"/>
    <w:rsid w:val="009954AF"/>
    <w:rsid w:val="0099580C"/>
    <w:rsid w:val="009958ED"/>
    <w:rsid w:val="009962CE"/>
    <w:rsid w:val="00996750"/>
    <w:rsid w:val="009967D6"/>
    <w:rsid w:val="00996A83"/>
    <w:rsid w:val="00996BA3"/>
    <w:rsid w:val="00997048"/>
    <w:rsid w:val="00997225"/>
    <w:rsid w:val="009975A0"/>
    <w:rsid w:val="009975AD"/>
    <w:rsid w:val="00997703"/>
    <w:rsid w:val="00997BE0"/>
    <w:rsid w:val="009A0021"/>
    <w:rsid w:val="009A0066"/>
    <w:rsid w:val="009A0196"/>
    <w:rsid w:val="009A0426"/>
    <w:rsid w:val="009A08B4"/>
    <w:rsid w:val="009A0A93"/>
    <w:rsid w:val="009A103F"/>
    <w:rsid w:val="009A1256"/>
    <w:rsid w:val="009A160A"/>
    <w:rsid w:val="009A1AF9"/>
    <w:rsid w:val="009A1CBE"/>
    <w:rsid w:val="009A1F71"/>
    <w:rsid w:val="009A259F"/>
    <w:rsid w:val="009A2B18"/>
    <w:rsid w:val="009A3EEE"/>
    <w:rsid w:val="009A464E"/>
    <w:rsid w:val="009A4678"/>
    <w:rsid w:val="009A4706"/>
    <w:rsid w:val="009A4B6B"/>
    <w:rsid w:val="009A4CAF"/>
    <w:rsid w:val="009A4EF4"/>
    <w:rsid w:val="009A4EFC"/>
    <w:rsid w:val="009A53AF"/>
    <w:rsid w:val="009A57E4"/>
    <w:rsid w:val="009A5996"/>
    <w:rsid w:val="009A5A8B"/>
    <w:rsid w:val="009A603F"/>
    <w:rsid w:val="009A613A"/>
    <w:rsid w:val="009A6438"/>
    <w:rsid w:val="009A6FA6"/>
    <w:rsid w:val="009A7154"/>
    <w:rsid w:val="009A7995"/>
    <w:rsid w:val="009B03F4"/>
    <w:rsid w:val="009B086A"/>
    <w:rsid w:val="009B08C0"/>
    <w:rsid w:val="009B097A"/>
    <w:rsid w:val="009B0D86"/>
    <w:rsid w:val="009B10A7"/>
    <w:rsid w:val="009B1C31"/>
    <w:rsid w:val="009B1D51"/>
    <w:rsid w:val="009B1E8A"/>
    <w:rsid w:val="009B2246"/>
    <w:rsid w:val="009B2306"/>
    <w:rsid w:val="009B256E"/>
    <w:rsid w:val="009B2AF2"/>
    <w:rsid w:val="009B2E61"/>
    <w:rsid w:val="009B322E"/>
    <w:rsid w:val="009B35ED"/>
    <w:rsid w:val="009B3B8F"/>
    <w:rsid w:val="009B3C7E"/>
    <w:rsid w:val="009B3D1F"/>
    <w:rsid w:val="009B3F39"/>
    <w:rsid w:val="009B4449"/>
    <w:rsid w:val="009B481D"/>
    <w:rsid w:val="009B4D89"/>
    <w:rsid w:val="009B4DC5"/>
    <w:rsid w:val="009B527C"/>
    <w:rsid w:val="009B5475"/>
    <w:rsid w:val="009B57A5"/>
    <w:rsid w:val="009B5AB4"/>
    <w:rsid w:val="009B5AFC"/>
    <w:rsid w:val="009B5C47"/>
    <w:rsid w:val="009B5CF9"/>
    <w:rsid w:val="009B6185"/>
    <w:rsid w:val="009B62B1"/>
    <w:rsid w:val="009B64AE"/>
    <w:rsid w:val="009B6537"/>
    <w:rsid w:val="009B6B82"/>
    <w:rsid w:val="009B7127"/>
    <w:rsid w:val="009B736E"/>
    <w:rsid w:val="009B73C0"/>
    <w:rsid w:val="009B7727"/>
    <w:rsid w:val="009B7744"/>
    <w:rsid w:val="009B7AAE"/>
    <w:rsid w:val="009B7CC5"/>
    <w:rsid w:val="009C0356"/>
    <w:rsid w:val="009C04B2"/>
    <w:rsid w:val="009C0625"/>
    <w:rsid w:val="009C07B9"/>
    <w:rsid w:val="009C0A24"/>
    <w:rsid w:val="009C0AEA"/>
    <w:rsid w:val="009C104C"/>
    <w:rsid w:val="009C18B0"/>
    <w:rsid w:val="009C1BF2"/>
    <w:rsid w:val="009C1E01"/>
    <w:rsid w:val="009C22BC"/>
    <w:rsid w:val="009C25AF"/>
    <w:rsid w:val="009C2740"/>
    <w:rsid w:val="009C2C1F"/>
    <w:rsid w:val="009C2D07"/>
    <w:rsid w:val="009C3400"/>
    <w:rsid w:val="009C3627"/>
    <w:rsid w:val="009C3669"/>
    <w:rsid w:val="009C38AC"/>
    <w:rsid w:val="009C39F0"/>
    <w:rsid w:val="009C3B8A"/>
    <w:rsid w:val="009C3FF4"/>
    <w:rsid w:val="009C4416"/>
    <w:rsid w:val="009C467B"/>
    <w:rsid w:val="009C4741"/>
    <w:rsid w:val="009C47B0"/>
    <w:rsid w:val="009C4C84"/>
    <w:rsid w:val="009C4E04"/>
    <w:rsid w:val="009C4E7B"/>
    <w:rsid w:val="009C4FDB"/>
    <w:rsid w:val="009C5061"/>
    <w:rsid w:val="009C5775"/>
    <w:rsid w:val="009C5C56"/>
    <w:rsid w:val="009C5E70"/>
    <w:rsid w:val="009C5F65"/>
    <w:rsid w:val="009C5F93"/>
    <w:rsid w:val="009C65F4"/>
    <w:rsid w:val="009C67C6"/>
    <w:rsid w:val="009C67F5"/>
    <w:rsid w:val="009C6844"/>
    <w:rsid w:val="009C70C9"/>
    <w:rsid w:val="009C723B"/>
    <w:rsid w:val="009C72EF"/>
    <w:rsid w:val="009C7407"/>
    <w:rsid w:val="009C79DD"/>
    <w:rsid w:val="009C7B56"/>
    <w:rsid w:val="009D009A"/>
    <w:rsid w:val="009D0228"/>
    <w:rsid w:val="009D0B39"/>
    <w:rsid w:val="009D0CB2"/>
    <w:rsid w:val="009D0EF7"/>
    <w:rsid w:val="009D11F1"/>
    <w:rsid w:val="009D1625"/>
    <w:rsid w:val="009D1720"/>
    <w:rsid w:val="009D18C0"/>
    <w:rsid w:val="009D26A3"/>
    <w:rsid w:val="009D2D53"/>
    <w:rsid w:val="009D2EF4"/>
    <w:rsid w:val="009D30F7"/>
    <w:rsid w:val="009D33F4"/>
    <w:rsid w:val="009D3402"/>
    <w:rsid w:val="009D38CD"/>
    <w:rsid w:val="009D3916"/>
    <w:rsid w:val="009D3A19"/>
    <w:rsid w:val="009D3DC5"/>
    <w:rsid w:val="009D3E65"/>
    <w:rsid w:val="009D407E"/>
    <w:rsid w:val="009D489A"/>
    <w:rsid w:val="009D5118"/>
    <w:rsid w:val="009D5AE1"/>
    <w:rsid w:val="009D5B1F"/>
    <w:rsid w:val="009D5BCC"/>
    <w:rsid w:val="009D5C18"/>
    <w:rsid w:val="009D5C3F"/>
    <w:rsid w:val="009D5C9F"/>
    <w:rsid w:val="009D5F70"/>
    <w:rsid w:val="009D6BB0"/>
    <w:rsid w:val="009D6F4F"/>
    <w:rsid w:val="009D70F3"/>
    <w:rsid w:val="009D751B"/>
    <w:rsid w:val="009D77F3"/>
    <w:rsid w:val="009D7D32"/>
    <w:rsid w:val="009D7E67"/>
    <w:rsid w:val="009D7F47"/>
    <w:rsid w:val="009E02ED"/>
    <w:rsid w:val="009E04C1"/>
    <w:rsid w:val="009E0C26"/>
    <w:rsid w:val="009E0F93"/>
    <w:rsid w:val="009E1034"/>
    <w:rsid w:val="009E1A20"/>
    <w:rsid w:val="009E1A7A"/>
    <w:rsid w:val="009E1DC0"/>
    <w:rsid w:val="009E20D1"/>
    <w:rsid w:val="009E21E1"/>
    <w:rsid w:val="009E23ED"/>
    <w:rsid w:val="009E2543"/>
    <w:rsid w:val="009E27AA"/>
    <w:rsid w:val="009E28F7"/>
    <w:rsid w:val="009E2E70"/>
    <w:rsid w:val="009E304E"/>
    <w:rsid w:val="009E39BB"/>
    <w:rsid w:val="009E3BF3"/>
    <w:rsid w:val="009E427C"/>
    <w:rsid w:val="009E42F2"/>
    <w:rsid w:val="009E475D"/>
    <w:rsid w:val="009E47D7"/>
    <w:rsid w:val="009E49F7"/>
    <w:rsid w:val="009E556A"/>
    <w:rsid w:val="009E57B2"/>
    <w:rsid w:val="009E5B42"/>
    <w:rsid w:val="009E5B97"/>
    <w:rsid w:val="009E6564"/>
    <w:rsid w:val="009E692D"/>
    <w:rsid w:val="009E6BFE"/>
    <w:rsid w:val="009E6EF5"/>
    <w:rsid w:val="009E7111"/>
    <w:rsid w:val="009E73F4"/>
    <w:rsid w:val="009E754B"/>
    <w:rsid w:val="009E779B"/>
    <w:rsid w:val="009E7EDE"/>
    <w:rsid w:val="009F05AA"/>
    <w:rsid w:val="009F060B"/>
    <w:rsid w:val="009F078E"/>
    <w:rsid w:val="009F0F7B"/>
    <w:rsid w:val="009F11D5"/>
    <w:rsid w:val="009F1399"/>
    <w:rsid w:val="009F17D5"/>
    <w:rsid w:val="009F1E38"/>
    <w:rsid w:val="009F1F10"/>
    <w:rsid w:val="009F2048"/>
    <w:rsid w:val="009F24F9"/>
    <w:rsid w:val="009F2547"/>
    <w:rsid w:val="009F279F"/>
    <w:rsid w:val="009F28D4"/>
    <w:rsid w:val="009F2F81"/>
    <w:rsid w:val="009F3D43"/>
    <w:rsid w:val="009F3E59"/>
    <w:rsid w:val="009F3E85"/>
    <w:rsid w:val="009F414C"/>
    <w:rsid w:val="009F46D9"/>
    <w:rsid w:val="009F4AE2"/>
    <w:rsid w:val="009F4B02"/>
    <w:rsid w:val="009F4B8E"/>
    <w:rsid w:val="009F4C0B"/>
    <w:rsid w:val="009F5192"/>
    <w:rsid w:val="009F524C"/>
    <w:rsid w:val="009F5F06"/>
    <w:rsid w:val="009F66CD"/>
    <w:rsid w:val="009F66E2"/>
    <w:rsid w:val="009F6B37"/>
    <w:rsid w:val="009F7574"/>
    <w:rsid w:val="009F7C48"/>
    <w:rsid w:val="00A00599"/>
    <w:rsid w:val="00A006F9"/>
    <w:rsid w:val="00A00A7B"/>
    <w:rsid w:val="00A00AAD"/>
    <w:rsid w:val="00A00C16"/>
    <w:rsid w:val="00A00C22"/>
    <w:rsid w:val="00A00DB2"/>
    <w:rsid w:val="00A00DD1"/>
    <w:rsid w:val="00A00ED0"/>
    <w:rsid w:val="00A00F09"/>
    <w:rsid w:val="00A00F6F"/>
    <w:rsid w:val="00A010B4"/>
    <w:rsid w:val="00A01B76"/>
    <w:rsid w:val="00A01DFE"/>
    <w:rsid w:val="00A0200E"/>
    <w:rsid w:val="00A02A5E"/>
    <w:rsid w:val="00A02C8F"/>
    <w:rsid w:val="00A033F0"/>
    <w:rsid w:val="00A033FD"/>
    <w:rsid w:val="00A034ED"/>
    <w:rsid w:val="00A0358B"/>
    <w:rsid w:val="00A03793"/>
    <w:rsid w:val="00A03B55"/>
    <w:rsid w:val="00A03B84"/>
    <w:rsid w:val="00A03EAA"/>
    <w:rsid w:val="00A04060"/>
    <w:rsid w:val="00A04553"/>
    <w:rsid w:val="00A04576"/>
    <w:rsid w:val="00A048B8"/>
    <w:rsid w:val="00A048C6"/>
    <w:rsid w:val="00A04A03"/>
    <w:rsid w:val="00A04A8C"/>
    <w:rsid w:val="00A05503"/>
    <w:rsid w:val="00A05C7C"/>
    <w:rsid w:val="00A05D1C"/>
    <w:rsid w:val="00A0601B"/>
    <w:rsid w:val="00A067DC"/>
    <w:rsid w:val="00A06FBA"/>
    <w:rsid w:val="00A070AF"/>
    <w:rsid w:val="00A07A2B"/>
    <w:rsid w:val="00A07B0C"/>
    <w:rsid w:val="00A07B51"/>
    <w:rsid w:val="00A101EC"/>
    <w:rsid w:val="00A10994"/>
    <w:rsid w:val="00A10E73"/>
    <w:rsid w:val="00A10EC8"/>
    <w:rsid w:val="00A111A4"/>
    <w:rsid w:val="00A11427"/>
    <w:rsid w:val="00A114F1"/>
    <w:rsid w:val="00A11560"/>
    <w:rsid w:val="00A11628"/>
    <w:rsid w:val="00A11AE7"/>
    <w:rsid w:val="00A11C6C"/>
    <w:rsid w:val="00A12224"/>
    <w:rsid w:val="00A123E2"/>
    <w:rsid w:val="00A12C3A"/>
    <w:rsid w:val="00A131FB"/>
    <w:rsid w:val="00A13952"/>
    <w:rsid w:val="00A139C7"/>
    <w:rsid w:val="00A13BC0"/>
    <w:rsid w:val="00A13ED6"/>
    <w:rsid w:val="00A1431E"/>
    <w:rsid w:val="00A1436D"/>
    <w:rsid w:val="00A14504"/>
    <w:rsid w:val="00A14983"/>
    <w:rsid w:val="00A14B1E"/>
    <w:rsid w:val="00A14F28"/>
    <w:rsid w:val="00A14FEB"/>
    <w:rsid w:val="00A156B4"/>
    <w:rsid w:val="00A156FE"/>
    <w:rsid w:val="00A15A74"/>
    <w:rsid w:val="00A15B93"/>
    <w:rsid w:val="00A15DA0"/>
    <w:rsid w:val="00A1609B"/>
    <w:rsid w:val="00A1619C"/>
    <w:rsid w:val="00A169E0"/>
    <w:rsid w:val="00A16D1C"/>
    <w:rsid w:val="00A16E34"/>
    <w:rsid w:val="00A1763B"/>
    <w:rsid w:val="00A176EE"/>
    <w:rsid w:val="00A17BD0"/>
    <w:rsid w:val="00A17DC7"/>
    <w:rsid w:val="00A2021E"/>
    <w:rsid w:val="00A2027E"/>
    <w:rsid w:val="00A208B3"/>
    <w:rsid w:val="00A20A8B"/>
    <w:rsid w:val="00A20B39"/>
    <w:rsid w:val="00A20EC1"/>
    <w:rsid w:val="00A21071"/>
    <w:rsid w:val="00A214B0"/>
    <w:rsid w:val="00A2154D"/>
    <w:rsid w:val="00A215E8"/>
    <w:rsid w:val="00A21709"/>
    <w:rsid w:val="00A2176F"/>
    <w:rsid w:val="00A2192D"/>
    <w:rsid w:val="00A219C9"/>
    <w:rsid w:val="00A21AF2"/>
    <w:rsid w:val="00A21F89"/>
    <w:rsid w:val="00A220C3"/>
    <w:rsid w:val="00A225B4"/>
    <w:rsid w:val="00A2299D"/>
    <w:rsid w:val="00A22BB4"/>
    <w:rsid w:val="00A22DFF"/>
    <w:rsid w:val="00A22FA6"/>
    <w:rsid w:val="00A23F86"/>
    <w:rsid w:val="00A24452"/>
    <w:rsid w:val="00A247AD"/>
    <w:rsid w:val="00A2489D"/>
    <w:rsid w:val="00A24AD9"/>
    <w:rsid w:val="00A24F60"/>
    <w:rsid w:val="00A2523E"/>
    <w:rsid w:val="00A2555F"/>
    <w:rsid w:val="00A25FFB"/>
    <w:rsid w:val="00A26424"/>
    <w:rsid w:val="00A26997"/>
    <w:rsid w:val="00A26AB7"/>
    <w:rsid w:val="00A26C20"/>
    <w:rsid w:val="00A26CAC"/>
    <w:rsid w:val="00A2728E"/>
    <w:rsid w:val="00A27423"/>
    <w:rsid w:val="00A276B0"/>
    <w:rsid w:val="00A30AF9"/>
    <w:rsid w:val="00A30CC4"/>
    <w:rsid w:val="00A31090"/>
    <w:rsid w:val="00A3111E"/>
    <w:rsid w:val="00A317B3"/>
    <w:rsid w:val="00A318E1"/>
    <w:rsid w:val="00A31D8B"/>
    <w:rsid w:val="00A3209E"/>
    <w:rsid w:val="00A32442"/>
    <w:rsid w:val="00A32DE7"/>
    <w:rsid w:val="00A32F5A"/>
    <w:rsid w:val="00A33563"/>
    <w:rsid w:val="00A3387B"/>
    <w:rsid w:val="00A3396E"/>
    <w:rsid w:val="00A33BBA"/>
    <w:rsid w:val="00A33C4D"/>
    <w:rsid w:val="00A3404E"/>
    <w:rsid w:val="00A3407E"/>
    <w:rsid w:val="00A34408"/>
    <w:rsid w:val="00A34CA6"/>
    <w:rsid w:val="00A35020"/>
    <w:rsid w:val="00A3516C"/>
    <w:rsid w:val="00A352D9"/>
    <w:rsid w:val="00A356C7"/>
    <w:rsid w:val="00A3570C"/>
    <w:rsid w:val="00A35966"/>
    <w:rsid w:val="00A35973"/>
    <w:rsid w:val="00A35DEB"/>
    <w:rsid w:val="00A36287"/>
    <w:rsid w:val="00A36695"/>
    <w:rsid w:val="00A36C64"/>
    <w:rsid w:val="00A36C96"/>
    <w:rsid w:val="00A37177"/>
    <w:rsid w:val="00A372C4"/>
    <w:rsid w:val="00A37484"/>
    <w:rsid w:val="00A378F5"/>
    <w:rsid w:val="00A37FA8"/>
    <w:rsid w:val="00A400C6"/>
    <w:rsid w:val="00A4064A"/>
    <w:rsid w:val="00A40BC6"/>
    <w:rsid w:val="00A40C35"/>
    <w:rsid w:val="00A41032"/>
    <w:rsid w:val="00A41199"/>
    <w:rsid w:val="00A411AF"/>
    <w:rsid w:val="00A413A6"/>
    <w:rsid w:val="00A4177E"/>
    <w:rsid w:val="00A41B0B"/>
    <w:rsid w:val="00A41FF3"/>
    <w:rsid w:val="00A42043"/>
    <w:rsid w:val="00A42219"/>
    <w:rsid w:val="00A429CA"/>
    <w:rsid w:val="00A42D6B"/>
    <w:rsid w:val="00A42F4F"/>
    <w:rsid w:val="00A4352A"/>
    <w:rsid w:val="00A438EE"/>
    <w:rsid w:val="00A43A18"/>
    <w:rsid w:val="00A43DD7"/>
    <w:rsid w:val="00A43F26"/>
    <w:rsid w:val="00A44458"/>
    <w:rsid w:val="00A44F43"/>
    <w:rsid w:val="00A453D7"/>
    <w:rsid w:val="00A4554C"/>
    <w:rsid w:val="00A456E3"/>
    <w:rsid w:val="00A45762"/>
    <w:rsid w:val="00A46422"/>
    <w:rsid w:val="00A466CB"/>
    <w:rsid w:val="00A4677A"/>
    <w:rsid w:val="00A46BDA"/>
    <w:rsid w:val="00A47799"/>
    <w:rsid w:val="00A479BE"/>
    <w:rsid w:val="00A47D86"/>
    <w:rsid w:val="00A47EFB"/>
    <w:rsid w:val="00A501FD"/>
    <w:rsid w:val="00A515B3"/>
    <w:rsid w:val="00A51841"/>
    <w:rsid w:val="00A51853"/>
    <w:rsid w:val="00A518F4"/>
    <w:rsid w:val="00A51A72"/>
    <w:rsid w:val="00A51A97"/>
    <w:rsid w:val="00A51F17"/>
    <w:rsid w:val="00A52316"/>
    <w:rsid w:val="00A5286B"/>
    <w:rsid w:val="00A52ED8"/>
    <w:rsid w:val="00A531F4"/>
    <w:rsid w:val="00A537DF"/>
    <w:rsid w:val="00A539EA"/>
    <w:rsid w:val="00A54655"/>
    <w:rsid w:val="00A54762"/>
    <w:rsid w:val="00A54B12"/>
    <w:rsid w:val="00A54E98"/>
    <w:rsid w:val="00A55094"/>
    <w:rsid w:val="00A55154"/>
    <w:rsid w:val="00A5572A"/>
    <w:rsid w:val="00A55A44"/>
    <w:rsid w:val="00A55D5B"/>
    <w:rsid w:val="00A56269"/>
    <w:rsid w:val="00A562CB"/>
    <w:rsid w:val="00A56332"/>
    <w:rsid w:val="00A56409"/>
    <w:rsid w:val="00A5646B"/>
    <w:rsid w:val="00A56A71"/>
    <w:rsid w:val="00A56EC5"/>
    <w:rsid w:val="00A5713F"/>
    <w:rsid w:val="00A5714C"/>
    <w:rsid w:val="00A57CB9"/>
    <w:rsid w:val="00A60290"/>
    <w:rsid w:val="00A604B3"/>
    <w:rsid w:val="00A60564"/>
    <w:rsid w:val="00A6081F"/>
    <w:rsid w:val="00A60A0D"/>
    <w:rsid w:val="00A60A57"/>
    <w:rsid w:val="00A60E58"/>
    <w:rsid w:val="00A61279"/>
    <w:rsid w:val="00A61407"/>
    <w:rsid w:val="00A61615"/>
    <w:rsid w:val="00A616E1"/>
    <w:rsid w:val="00A62573"/>
    <w:rsid w:val="00A6286A"/>
    <w:rsid w:val="00A62A29"/>
    <w:rsid w:val="00A62B99"/>
    <w:rsid w:val="00A62DB2"/>
    <w:rsid w:val="00A634FD"/>
    <w:rsid w:val="00A63511"/>
    <w:rsid w:val="00A63752"/>
    <w:rsid w:val="00A63896"/>
    <w:rsid w:val="00A63F1B"/>
    <w:rsid w:val="00A6403B"/>
    <w:rsid w:val="00A64A9A"/>
    <w:rsid w:val="00A64B9A"/>
    <w:rsid w:val="00A650ED"/>
    <w:rsid w:val="00A65FA7"/>
    <w:rsid w:val="00A66031"/>
    <w:rsid w:val="00A66061"/>
    <w:rsid w:val="00A66265"/>
    <w:rsid w:val="00A66553"/>
    <w:rsid w:val="00A6666B"/>
    <w:rsid w:val="00A667D5"/>
    <w:rsid w:val="00A67211"/>
    <w:rsid w:val="00A67A67"/>
    <w:rsid w:val="00A67C19"/>
    <w:rsid w:val="00A70106"/>
    <w:rsid w:val="00A701E8"/>
    <w:rsid w:val="00A70206"/>
    <w:rsid w:val="00A70C92"/>
    <w:rsid w:val="00A7111A"/>
    <w:rsid w:val="00A71203"/>
    <w:rsid w:val="00A7141A"/>
    <w:rsid w:val="00A7156A"/>
    <w:rsid w:val="00A716D7"/>
    <w:rsid w:val="00A71C50"/>
    <w:rsid w:val="00A71E0D"/>
    <w:rsid w:val="00A71E35"/>
    <w:rsid w:val="00A723A7"/>
    <w:rsid w:val="00A72888"/>
    <w:rsid w:val="00A728B7"/>
    <w:rsid w:val="00A72973"/>
    <w:rsid w:val="00A72AB9"/>
    <w:rsid w:val="00A73231"/>
    <w:rsid w:val="00A739BD"/>
    <w:rsid w:val="00A74078"/>
    <w:rsid w:val="00A74202"/>
    <w:rsid w:val="00A7424C"/>
    <w:rsid w:val="00A743FD"/>
    <w:rsid w:val="00A74760"/>
    <w:rsid w:val="00A74821"/>
    <w:rsid w:val="00A748F6"/>
    <w:rsid w:val="00A74D8C"/>
    <w:rsid w:val="00A74F97"/>
    <w:rsid w:val="00A74FB7"/>
    <w:rsid w:val="00A75039"/>
    <w:rsid w:val="00A7523D"/>
    <w:rsid w:val="00A7610A"/>
    <w:rsid w:val="00A7656D"/>
    <w:rsid w:val="00A76C0D"/>
    <w:rsid w:val="00A76C31"/>
    <w:rsid w:val="00A76F97"/>
    <w:rsid w:val="00A77025"/>
    <w:rsid w:val="00A771C5"/>
    <w:rsid w:val="00A7750F"/>
    <w:rsid w:val="00A777A3"/>
    <w:rsid w:val="00A778D7"/>
    <w:rsid w:val="00A77AEC"/>
    <w:rsid w:val="00A77FD1"/>
    <w:rsid w:val="00A80137"/>
    <w:rsid w:val="00A803DB"/>
    <w:rsid w:val="00A80799"/>
    <w:rsid w:val="00A807A2"/>
    <w:rsid w:val="00A80900"/>
    <w:rsid w:val="00A80A0E"/>
    <w:rsid w:val="00A80A53"/>
    <w:rsid w:val="00A80F88"/>
    <w:rsid w:val="00A81096"/>
    <w:rsid w:val="00A81236"/>
    <w:rsid w:val="00A814DF"/>
    <w:rsid w:val="00A817AD"/>
    <w:rsid w:val="00A8188B"/>
    <w:rsid w:val="00A820D0"/>
    <w:rsid w:val="00A825D0"/>
    <w:rsid w:val="00A826E9"/>
    <w:rsid w:val="00A82857"/>
    <w:rsid w:val="00A82DDB"/>
    <w:rsid w:val="00A83231"/>
    <w:rsid w:val="00A835D1"/>
    <w:rsid w:val="00A83C55"/>
    <w:rsid w:val="00A83E1F"/>
    <w:rsid w:val="00A8405B"/>
    <w:rsid w:val="00A84284"/>
    <w:rsid w:val="00A84323"/>
    <w:rsid w:val="00A8441E"/>
    <w:rsid w:val="00A84751"/>
    <w:rsid w:val="00A84E0B"/>
    <w:rsid w:val="00A84E26"/>
    <w:rsid w:val="00A8566B"/>
    <w:rsid w:val="00A85A2C"/>
    <w:rsid w:val="00A85BF8"/>
    <w:rsid w:val="00A85E49"/>
    <w:rsid w:val="00A8661F"/>
    <w:rsid w:val="00A86CA6"/>
    <w:rsid w:val="00A86D7B"/>
    <w:rsid w:val="00A86D7E"/>
    <w:rsid w:val="00A86EA4"/>
    <w:rsid w:val="00A87442"/>
    <w:rsid w:val="00A9048E"/>
    <w:rsid w:val="00A9052B"/>
    <w:rsid w:val="00A90AD5"/>
    <w:rsid w:val="00A9130F"/>
    <w:rsid w:val="00A9157F"/>
    <w:rsid w:val="00A9158D"/>
    <w:rsid w:val="00A919FA"/>
    <w:rsid w:val="00A91B8C"/>
    <w:rsid w:val="00A91F6F"/>
    <w:rsid w:val="00A91F9B"/>
    <w:rsid w:val="00A92053"/>
    <w:rsid w:val="00A92093"/>
    <w:rsid w:val="00A9216C"/>
    <w:rsid w:val="00A92AA1"/>
    <w:rsid w:val="00A92D2D"/>
    <w:rsid w:val="00A93551"/>
    <w:rsid w:val="00A9382D"/>
    <w:rsid w:val="00A938DB"/>
    <w:rsid w:val="00A93B42"/>
    <w:rsid w:val="00A93CEA"/>
    <w:rsid w:val="00A93CF1"/>
    <w:rsid w:val="00A94003"/>
    <w:rsid w:val="00A943B1"/>
    <w:rsid w:val="00A944DB"/>
    <w:rsid w:val="00A95241"/>
    <w:rsid w:val="00A955F4"/>
    <w:rsid w:val="00A9564C"/>
    <w:rsid w:val="00A95705"/>
    <w:rsid w:val="00A9592B"/>
    <w:rsid w:val="00A95A85"/>
    <w:rsid w:val="00A95E9D"/>
    <w:rsid w:val="00A961CB"/>
    <w:rsid w:val="00A961EF"/>
    <w:rsid w:val="00A969CF"/>
    <w:rsid w:val="00A9719B"/>
    <w:rsid w:val="00A971F9"/>
    <w:rsid w:val="00A973A1"/>
    <w:rsid w:val="00A973C2"/>
    <w:rsid w:val="00A974EA"/>
    <w:rsid w:val="00A97ACC"/>
    <w:rsid w:val="00AA0015"/>
    <w:rsid w:val="00AA0525"/>
    <w:rsid w:val="00AA05D9"/>
    <w:rsid w:val="00AA0603"/>
    <w:rsid w:val="00AA0FF4"/>
    <w:rsid w:val="00AA1324"/>
    <w:rsid w:val="00AA196C"/>
    <w:rsid w:val="00AA1E5E"/>
    <w:rsid w:val="00AA1F0E"/>
    <w:rsid w:val="00AA2372"/>
    <w:rsid w:val="00AA23AB"/>
    <w:rsid w:val="00AA23AE"/>
    <w:rsid w:val="00AA24AA"/>
    <w:rsid w:val="00AA24EC"/>
    <w:rsid w:val="00AA2CCC"/>
    <w:rsid w:val="00AA2D8C"/>
    <w:rsid w:val="00AA32D7"/>
    <w:rsid w:val="00AA3317"/>
    <w:rsid w:val="00AA336F"/>
    <w:rsid w:val="00AA3741"/>
    <w:rsid w:val="00AA377E"/>
    <w:rsid w:val="00AA392D"/>
    <w:rsid w:val="00AA3B24"/>
    <w:rsid w:val="00AA3CDF"/>
    <w:rsid w:val="00AA3E4C"/>
    <w:rsid w:val="00AA3EE9"/>
    <w:rsid w:val="00AA4187"/>
    <w:rsid w:val="00AA4556"/>
    <w:rsid w:val="00AA4E90"/>
    <w:rsid w:val="00AA507C"/>
    <w:rsid w:val="00AA53C0"/>
    <w:rsid w:val="00AA6014"/>
    <w:rsid w:val="00AA6233"/>
    <w:rsid w:val="00AA6486"/>
    <w:rsid w:val="00AA681A"/>
    <w:rsid w:val="00AA687D"/>
    <w:rsid w:val="00AA6BBE"/>
    <w:rsid w:val="00AA7769"/>
    <w:rsid w:val="00AA7AE0"/>
    <w:rsid w:val="00AA7C05"/>
    <w:rsid w:val="00AA7ED9"/>
    <w:rsid w:val="00AB05A7"/>
    <w:rsid w:val="00AB068E"/>
    <w:rsid w:val="00AB0E81"/>
    <w:rsid w:val="00AB0EFD"/>
    <w:rsid w:val="00AB1C1A"/>
    <w:rsid w:val="00AB1C5B"/>
    <w:rsid w:val="00AB1CFF"/>
    <w:rsid w:val="00AB1EF9"/>
    <w:rsid w:val="00AB2555"/>
    <w:rsid w:val="00AB282A"/>
    <w:rsid w:val="00AB3301"/>
    <w:rsid w:val="00AB3D2B"/>
    <w:rsid w:val="00AB4271"/>
    <w:rsid w:val="00AB43E0"/>
    <w:rsid w:val="00AB44A2"/>
    <w:rsid w:val="00AB4940"/>
    <w:rsid w:val="00AB532A"/>
    <w:rsid w:val="00AB551E"/>
    <w:rsid w:val="00AB5682"/>
    <w:rsid w:val="00AB569B"/>
    <w:rsid w:val="00AB56A6"/>
    <w:rsid w:val="00AB5ABB"/>
    <w:rsid w:val="00AB5C76"/>
    <w:rsid w:val="00AB6080"/>
    <w:rsid w:val="00AB6447"/>
    <w:rsid w:val="00AB684A"/>
    <w:rsid w:val="00AB6C2F"/>
    <w:rsid w:val="00AB6CAF"/>
    <w:rsid w:val="00AB6D6B"/>
    <w:rsid w:val="00AB74A7"/>
    <w:rsid w:val="00AB75C7"/>
    <w:rsid w:val="00AB75DA"/>
    <w:rsid w:val="00AB77CC"/>
    <w:rsid w:val="00AC022C"/>
    <w:rsid w:val="00AC0639"/>
    <w:rsid w:val="00AC06AF"/>
    <w:rsid w:val="00AC0951"/>
    <w:rsid w:val="00AC0A7A"/>
    <w:rsid w:val="00AC1042"/>
    <w:rsid w:val="00AC1108"/>
    <w:rsid w:val="00AC1276"/>
    <w:rsid w:val="00AC12F4"/>
    <w:rsid w:val="00AC1BA7"/>
    <w:rsid w:val="00AC27D2"/>
    <w:rsid w:val="00AC2AAD"/>
    <w:rsid w:val="00AC2EC8"/>
    <w:rsid w:val="00AC326B"/>
    <w:rsid w:val="00AC367D"/>
    <w:rsid w:val="00AC38E9"/>
    <w:rsid w:val="00AC3946"/>
    <w:rsid w:val="00AC3E8E"/>
    <w:rsid w:val="00AC4383"/>
    <w:rsid w:val="00AC487C"/>
    <w:rsid w:val="00AC4E10"/>
    <w:rsid w:val="00AC4E47"/>
    <w:rsid w:val="00AC4F0B"/>
    <w:rsid w:val="00AC4FFA"/>
    <w:rsid w:val="00AC5184"/>
    <w:rsid w:val="00AC5E9A"/>
    <w:rsid w:val="00AC63BA"/>
    <w:rsid w:val="00AC6C79"/>
    <w:rsid w:val="00AC6E0D"/>
    <w:rsid w:val="00AC6EE6"/>
    <w:rsid w:val="00AC6FF2"/>
    <w:rsid w:val="00AC70E5"/>
    <w:rsid w:val="00AC77CC"/>
    <w:rsid w:val="00AC781B"/>
    <w:rsid w:val="00AC7927"/>
    <w:rsid w:val="00AC7F15"/>
    <w:rsid w:val="00AC7F55"/>
    <w:rsid w:val="00AD03BC"/>
    <w:rsid w:val="00AD04D9"/>
    <w:rsid w:val="00AD087E"/>
    <w:rsid w:val="00AD08EA"/>
    <w:rsid w:val="00AD0F8F"/>
    <w:rsid w:val="00AD1193"/>
    <w:rsid w:val="00AD16D6"/>
    <w:rsid w:val="00AD1CC8"/>
    <w:rsid w:val="00AD1D83"/>
    <w:rsid w:val="00AD1DC6"/>
    <w:rsid w:val="00AD1E17"/>
    <w:rsid w:val="00AD21B4"/>
    <w:rsid w:val="00AD246C"/>
    <w:rsid w:val="00AD2788"/>
    <w:rsid w:val="00AD3097"/>
    <w:rsid w:val="00AD3125"/>
    <w:rsid w:val="00AD3553"/>
    <w:rsid w:val="00AD3A68"/>
    <w:rsid w:val="00AD3E98"/>
    <w:rsid w:val="00AD45D4"/>
    <w:rsid w:val="00AD4BE8"/>
    <w:rsid w:val="00AD4E0D"/>
    <w:rsid w:val="00AD5031"/>
    <w:rsid w:val="00AD54BF"/>
    <w:rsid w:val="00AD56CD"/>
    <w:rsid w:val="00AD5E0E"/>
    <w:rsid w:val="00AD5FDB"/>
    <w:rsid w:val="00AD6008"/>
    <w:rsid w:val="00AD6139"/>
    <w:rsid w:val="00AD6AE3"/>
    <w:rsid w:val="00AD6BDB"/>
    <w:rsid w:val="00AD7295"/>
    <w:rsid w:val="00AD7331"/>
    <w:rsid w:val="00AD7418"/>
    <w:rsid w:val="00AD7933"/>
    <w:rsid w:val="00AD7A43"/>
    <w:rsid w:val="00AD7B1D"/>
    <w:rsid w:val="00AD7DF1"/>
    <w:rsid w:val="00AD7EB1"/>
    <w:rsid w:val="00AE02B0"/>
    <w:rsid w:val="00AE02C8"/>
    <w:rsid w:val="00AE0399"/>
    <w:rsid w:val="00AE07D2"/>
    <w:rsid w:val="00AE086D"/>
    <w:rsid w:val="00AE0B07"/>
    <w:rsid w:val="00AE0B4A"/>
    <w:rsid w:val="00AE0B9E"/>
    <w:rsid w:val="00AE0CFD"/>
    <w:rsid w:val="00AE0DD4"/>
    <w:rsid w:val="00AE0E1B"/>
    <w:rsid w:val="00AE0E86"/>
    <w:rsid w:val="00AE1126"/>
    <w:rsid w:val="00AE1157"/>
    <w:rsid w:val="00AE12D4"/>
    <w:rsid w:val="00AE138E"/>
    <w:rsid w:val="00AE14C9"/>
    <w:rsid w:val="00AE1601"/>
    <w:rsid w:val="00AE178A"/>
    <w:rsid w:val="00AE191C"/>
    <w:rsid w:val="00AE1A96"/>
    <w:rsid w:val="00AE1BBA"/>
    <w:rsid w:val="00AE1F64"/>
    <w:rsid w:val="00AE1FEB"/>
    <w:rsid w:val="00AE265B"/>
    <w:rsid w:val="00AE2961"/>
    <w:rsid w:val="00AE2AE3"/>
    <w:rsid w:val="00AE2EA9"/>
    <w:rsid w:val="00AE350D"/>
    <w:rsid w:val="00AE38D4"/>
    <w:rsid w:val="00AE3E09"/>
    <w:rsid w:val="00AE4096"/>
    <w:rsid w:val="00AE455A"/>
    <w:rsid w:val="00AE477F"/>
    <w:rsid w:val="00AE4929"/>
    <w:rsid w:val="00AE4A93"/>
    <w:rsid w:val="00AE4BBE"/>
    <w:rsid w:val="00AE4EA1"/>
    <w:rsid w:val="00AE5307"/>
    <w:rsid w:val="00AE559A"/>
    <w:rsid w:val="00AE6277"/>
    <w:rsid w:val="00AE62C7"/>
    <w:rsid w:val="00AE68A0"/>
    <w:rsid w:val="00AE6C36"/>
    <w:rsid w:val="00AE6C61"/>
    <w:rsid w:val="00AE6FC6"/>
    <w:rsid w:val="00AE7156"/>
    <w:rsid w:val="00AE7689"/>
    <w:rsid w:val="00AF0E05"/>
    <w:rsid w:val="00AF1A59"/>
    <w:rsid w:val="00AF1A9B"/>
    <w:rsid w:val="00AF1F1A"/>
    <w:rsid w:val="00AF2288"/>
    <w:rsid w:val="00AF26DC"/>
    <w:rsid w:val="00AF2A83"/>
    <w:rsid w:val="00AF2A9B"/>
    <w:rsid w:val="00AF341E"/>
    <w:rsid w:val="00AF39A3"/>
    <w:rsid w:val="00AF3ABA"/>
    <w:rsid w:val="00AF3B61"/>
    <w:rsid w:val="00AF3E3C"/>
    <w:rsid w:val="00AF4135"/>
    <w:rsid w:val="00AF4144"/>
    <w:rsid w:val="00AF4392"/>
    <w:rsid w:val="00AF49AC"/>
    <w:rsid w:val="00AF4E11"/>
    <w:rsid w:val="00AF5185"/>
    <w:rsid w:val="00AF5E60"/>
    <w:rsid w:val="00AF5E99"/>
    <w:rsid w:val="00AF6058"/>
    <w:rsid w:val="00AF627D"/>
    <w:rsid w:val="00AF6C37"/>
    <w:rsid w:val="00AF6E31"/>
    <w:rsid w:val="00AF71C4"/>
    <w:rsid w:val="00AF7216"/>
    <w:rsid w:val="00AF7918"/>
    <w:rsid w:val="00AF7990"/>
    <w:rsid w:val="00AF7A5C"/>
    <w:rsid w:val="00AF7B12"/>
    <w:rsid w:val="00AF7B22"/>
    <w:rsid w:val="00AF7DE1"/>
    <w:rsid w:val="00B0020B"/>
    <w:rsid w:val="00B0065B"/>
    <w:rsid w:val="00B00933"/>
    <w:rsid w:val="00B00D95"/>
    <w:rsid w:val="00B00F7A"/>
    <w:rsid w:val="00B01BBB"/>
    <w:rsid w:val="00B01DBA"/>
    <w:rsid w:val="00B01F9C"/>
    <w:rsid w:val="00B01FE3"/>
    <w:rsid w:val="00B022B5"/>
    <w:rsid w:val="00B023B0"/>
    <w:rsid w:val="00B02896"/>
    <w:rsid w:val="00B02C6C"/>
    <w:rsid w:val="00B02CD8"/>
    <w:rsid w:val="00B031FA"/>
    <w:rsid w:val="00B03CBC"/>
    <w:rsid w:val="00B041EB"/>
    <w:rsid w:val="00B047DE"/>
    <w:rsid w:val="00B048AF"/>
    <w:rsid w:val="00B04E2E"/>
    <w:rsid w:val="00B04EBD"/>
    <w:rsid w:val="00B055C9"/>
    <w:rsid w:val="00B05824"/>
    <w:rsid w:val="00B05830"/>
    <w:rsid w:val="00B0674A"/>
    <w:rsid w:val="00B067EF"/>
    <w:rsid w:val="00B06E93"/>
    <w:rsid w:val="00B06FCD"/>
    <w:rsid w:val="00B077AB"/>
    <w:rsid w:val="00B07883"/>
    <w:rsid w:val="00B07E5F"/>
    <w:rsid w:val="00B10A5D"/>
    <w:rsid w:val="00B10B80"/>
    <w:rsid w:val="00B10EB2"/>
    <w:rsid w:val="00B11606"/>
    <w:rsid w:val="00B123D6"/>
    <w:rsid w:val="00B12509"/>
    <w:rsid w:val="00B1250F"/>
    <w:rsid w:val="00B12563"/>
    <w:rsid w:val="00B126D3"/>
    <w:rsid w:val="00B12708"/>
    <w:rsid w:val="00B128C7"/>
    <w:rsid w:val="00B12937"/>
    <w:rsid w:val="00B12E99"/>
    <w:rsid w:val="00B13003"/>
    <w:rsid w:val="00B130ED"/>
    <w:rsid w:val="00B13885"/>
    <w:rsid w:val="00B13BFA"/>
    <w:rsid w:val="00B1437E"/>
    <w:rsid w:val="00B1464E"/>
    <w:rsid w:val="00B14AB1"/>
    <w:rsid w:val="00B14F87"/>
    <w:rsid w:val="00B152A3"/>
    <w:rsid w:val="00B15496"/>
    <w:rsid w:val="00B162E4"/>
    <w:rsid w:val="00B1655F"/>
    <w:rsid w:val="00B1669D"/>
    <w:rsid w:val="00B1671D"/>
    <w:rsid w:val="00B16E5B"/>
    <w:rsid w:val="00B16F5F"/>
    <w:rsid w:val="00B173C0"/>
    <w:rsid w:val="00B17777"/>
    <w:rsid w:val="00B1790D"/>
    <w:rsid w:val="00B17BF4"/>
    <w:rsid w:val="00B20172"/>
    <w:rsid w:val="00B2057E"/>
    <w:rsid w:val="00B206D5"/>
    <w:rsid w:val="00B20A43"/>
    <w:rsid w:val="00B21023"/>
    <w:rsid w:val="00B21D25"/>
    <w:rsid w:val="00B21E97"/>
    <w:rsid w:val="00B228BF"/>
    <w:rsid w:val="00B22B26"/>
    <w:rsid w:val="00B22D6A"/>
    <w:rsid w:val="00B23083"/>
    <w:rsid w:val="00B23D13"/>
    <w:rsid w:val="00B24281"/>
    <w:rsid w:val="00B244C1"/>
    <w:rsid w:val="00B24AA7"/>
    <w:rsid w:val="00B24AF3"/>
    <w:rsid w:val="00B24E70"/>
    <w:rsid w:val="00B25615"/>
    <w:rsid w:val="00B25639"/>
    <w:rsid w:val="00B2571D"/>
    <w:rsid w:val="00B25794"/>
    <w:rsid w:val="00B259BC"/>
    <w:rsid w:val="00B25EB6"/>
    <w:rsid w:val="00B26298"/>
    <w:rsid w:val="00B263D6"/>
    <w:rsid w:val="00B263E8"/>
    <w:rsid w:val="00B2669C"/>
    <w:rsid w:val="00B26C07"/>
    <w:rsid w:val="00B273AE"/>
    <w:rsid w:val="00B2775B"/>
    <w:rsid w:val="00B309A0"/>
    <w:rsid w:val="00B30AE0"/>
    <w:rsid w:val="00B30E4D"/>
    <w:rsid w:val="00B30EE6"/>
    <w:rsid w:val="00B3100A"/>
    <w:rsid w:val="00B31280"/>
    <w:rsid w:val="00B312F5"/>
    <w:rsid w:val="00B3132E"/>
    <w:rsid w:val="00B32133"/>
    <w:rsid w:val="00B32632"/>
    <w:rsid w:val="00B32B31"/>
    <w:rsid w:val="00B32DA3"/>
    <w:rsid w:val="00B33074"/>
    <w:rsid w:val="00B330BE"/>
    <w:rsid w:val="00B33266"/>
    <w:rsid w:val="00B3366E"/>
    <w:rsid w:val="00B3368F"/>
    <w:rsid w:val="00B33A4A"/>
    <w:rsid w:val="00B33A90"/>
    <w:rsid w:val="00B33EA0"/>
    <w:rsid w:val="00B33F21"/>
    <w:rsid w:val="00B340AC"/>
    <w:rsid w:val="00B3426F"/>
    <w:rsid w:val="00B3436A"/>
    <w:rsid w:val="00B3469B"/>
    <w:rsid w:val="00B349B5"/>
    <w:rsid w:val="00B34AAD"/>
    <w:rsid w:val="00B34C23"/>
    <w:rsid w:val="00B34ED0"/>
    <w:rsid w:val="00B352DE"/>
    <w:rsid w:val="00B35358"/>
    <w:rsid w:val="00B355C3"/>
    <w:rsid w:val="00B356EA"/>
    <w:rsid w:val="00B36121"/>
    <w:rsid w:val="00B36198"/>
    <w:rsid w:val="00B36BB8"/>
    <w:rsid w:val="00B374FC"/>
    <w:rsid w:val="00B37591"/>
    <w:rsid w:val="00B375C5"/>
    <w:rsid w:val="00B375E5"/>
    <w:rsid w:val="00B3768E"/>
    <w:rsid w:val="00B376A8"/>
    <w:rsid w:val="00B379A8"/>
    <w:rsid w:val="00B379B3"/>
    <w:rsid w:val="00B37DBD"/>
    <w:rsid w:val="00B40343"/>
    <w:rsid w:val="00B40631"/>
    <w:rsid w:val="00B4068A"/>
    <w:rsid w:val="00B40CE9"/>
    <w:rsid w:val="00B40F49"/>
    <w:rsid w:val="00B41157"/>
    <w:rsid w:val="00B4148F"/>
    <w:rsid w:val="00B4153D"/>
    <w:rsid w:val="00B417BA"/>
    <w:rsid w:val="00B4180C"/>
    <w:rsid w:val="00B41B9F"/>
    <w:rsid w:val="00B425BA"/>
    <w:rsid w:val="00B42E29"/>
    <w:rsid w:val="00B436D2"/>
    <w:rsid w:val="00B4372D"/>
    <w:rsid w:val="00B43969"/>
    <w:rsid w:val="00B43B85"/>
    <w:rsid w:val="00B43D7F"/>
    <w:rsid w:val="00B44A9B"/>
    <w:rsid w:val="00B44D3A"/>
    <w:rsid w:val="00B45330"/>
    <w:rsid w:val="00B453A9"/>
    <w:rsid w:val="00B45730"/>
    <w:rsid w:val="00B4638B"/>
    <w:rsid w:val="00B4683C"/>
    <w:rsid w:val="00B46B0C"/>
    <w:rsid w:val="00B46B75"/>
    <w:rsid w:val="00B46DE0"/>
    <w:rsid w:val="00B46FBE"/>
    <w:rsid w:val="00B47405"/>
    <w:rsid w:val="00B47461"/>
    <w:rsid w:val="00B47546"/>
    <w:rsid w:val="00B47801"/>
    <w:rsid w:val="00B47A17"/>
    <w:rsid w:val="00B47AD8"/>
    <w:rsid w:val="00B47FDE"/>
    <w:rsid w:val="00B50ABD"/>
    <w:rsid w:val="00B50D12"/>
    <w:rsid w:val="00B50EA2"/>
    <w:rsid w:val="00B511EE"/>
    <w:rsid w:val="00B512EE"/>
    <w:rsid w:val="00B51585"/>
    <w:rsid w:val="00B51E2A"/>
    <w:rsid w:val="00B521AE"/>
    <w:rsid w:val="00B52313"/>
    <w:rsid w:val="00B524E4"/>
    <w:rsid w:val="00B52566"/>
    <w:rsid w:val="00B525B6"/>
    <w:rsid w:val="00B52BC0"/>
    <w:rsid w:val="00B52EEC"/>
    <w:rsid w:val="00B53095"/>
    <w:rsid w:val="00B5357A"/>
    <w:rsid w:val="00B5387B"/>
    <w:rsid w:val="00B53A94"/>
    <w:rsid w:val="00B53D1F"/>
    <w:rsid w:val="00B53F11"/>
    <w:rsid w:val="00B5435F"/>
    <w:rsid w:val="00B547D8"/>
    <w:rsid w:val="00B547D9"/>
    <w:rsid w:val="00B54904"/>
    <w:rsid w:val="00B54D33"/>
    <w:rsid w:val="00B54E57"/>
    <w:rsid w:val="00B554B3"/>
    <w:rsid w:val="00B5571E"/>
    <w:rsid w:val="00B55A7A"/>
    <w:rsid w:val="00B55EA8"/>
    <w:rsid w:val="00B55F85"/>
    <w:rsid w:val="00B5664B"/>
    <w:rsid w:val="00B569D1"/>
    <w:rsid w:val="00B56F39"/>
    <w:rsid w:val="00B56FED"/>
    <w:rsid w:val="00B56FF7"/>
    <w:rsid w:val="00B57664"/>
    <w:rsid w:val="00B5768A"/>
    <w:rsid w:val="00B577A2"/>
    <w:rsid w:val="00B5799C"/>
    <w:rsid w:val="00B579C7"/>
    <w:rsid w:val="00B57C72"/>
    <w:rsid w:val="00B57DDD"/>
    <w:rsid w:val="00B57F8D"/>
    <w:rsid w:val="00B60128"/>
    <w:rsid w:val="00B6063E"/>
    <w:rsid w:val="00B60BB9"/>
    <w:rsid w:val="00B60D24"/>
    <w:rsid w:val="00B60DCC"/>
    <w:rsid w:val="00B6102A"/>
    <w:rsid w:val="00B6112F"/>
    <w:rsid w:val="00B61360"/>
    <w:rsid w:val="00B6181A"/>
    <w:rsid w:val="00B61C1B"/>
    <w:rsid w:val="00B61C50"/>
    <w:rsid w:val="00B61DBB"/>
    <w:rsid w:val="00B6226A"/>
    <w:rsid w:val="00B622A0"/>
    <w:rsid w:val="00B62432"/>
    <w:rsid w:val="00B628FE"/>
    <w:rsid w:val="00B629FC"/>
    <w:rsid w:val="00B62F6A"/>
    <w:rsid w:val="00B62FA7"/>
    <w:rsid w:val="00B63131"/>
    <w:rsid w:val="00B6347F"/>
    <w:rsid w:val="00B63BA2"/>
    <w:rsid w:val="00B63F74"/>
    <w:rsid w:val="00B63FCD"/>
    <w:rsid w:val="00B63FF9"/>
    <w:rsid w:val="00B64232"/>
    <w:rsid w:val="00B64537"/>
    <w:rsid w:val="00B64A7D"/>
    <w:rsid w:val="00B6517E"/>
    <w:rsid w:val="00B65189"/>
    <w:rsid w:val="00B659B0"/>
    <w:rsid w:val="00B6610A"/>
    <w:rsid w:val="00B66299"/>
    <w:rsid w:val="00B6651E"/>
    <w:rsid w:val="00B6668A"/>
    <w:rsid w:val="00B667FF"/>
    <w:rsid w:val="00B66939"/>
    <w:rsid w:val="00B6739A"/>
    <w:rsid w:val="00B67655"/>
    <w:rsid w:val="00B67887"/>
    <w:rsid w:val="00B678F3"/>
    <w:rsid w:val="00B705D4"/>
    <w:rsid w:val="00B70602"/>
    <w:rsid w:val="00B708E3"/>
    <w:rsid w:val="00B71311"/>
    <w:rsid w:val="00B717D2"/>
    <w:rsid w:val="00B7180E"/>
    <w:rsid w:val="00B7183E"/>
    <w:rsid w:val="00B71AA0"/>
    <w:rsid w:val="00B71C44"/>
    <w:rsid w:val="00B71E77"/>
    <w:rsid w:val="00B720BB"/>
    <w:rsid w:val="00B7273C"/>
    <w:rsid w:val="00B72CCF"/>
    <w:rsid w:val="00B73619"/>
    <w:rsid w:val="00B73740"/>
    <w:rsid w:val="00B73D63"/>
    <w:rsid w:val="00B73DBC"/>
    <w:rsid w:val="00B7428E"/>
    <w:rsid w:val="00B749F5"/>
    <w:rsid w:val="00B75301"/>
    <w:rsid w:val="00B75323"/>
    <w:rsid w:val="00B753DA"/>
    <w:rsid w:val="00B75444"/>
    <w:rsid w:val="00B755E4"/>
    <w:rsid w:val="00B75BA2"/>
    <w:rsid w:val="00B75BBB"/>
    <w:rsid w:val="00B75CCB"/>
    <w:rsid w:val="00B75D66"/>
    <w:rsid w:val="00B75D88"/>
    <w:rsid w:val="00B75EC6"/>
    <w:rsid w:val="00B769FF"/>
    <w:rsid w:val="00B76C8E"/>
    <w:rsid w:val="00B76D8E"/>
    <w:rsid w:val="00B76F35"/>
    <w:rsid w:val="00B770C5"/>
    <w:rsid w:val="00B7724B"/>
    <w:rsid w:val="00B77605"/>
    <w:rsid w:val="00B77837"/>
    <w:rsid w:val="00B80053"/>
    <w:rsid w:val="00B80ABF"/>
    <w:rsid w:val="00B81087"/>
    <w:rsid w:val="00B8111C"/>
    <w:rsid w:val="00B813DD"/>
    <w:rsid w:val="00B8150E"/>
    <w:rsid w:val="00B818F8"/>
    <w:rsid w:val="00B81EFE"/>
    <w:rsid w:val="00B82202"/>
    <w:rsid w:val="00B8220F"/>
    <w:rsid w:val="00B8242E"/>
    <w:rsid w:val="00B824AF"/>
    <w:rsid w:val="00B824F2"/>
    <w:rsid w:val="00B8267C"/>
    <w:rsid w:val="00B82841"/>
    <w:rsid w:val="00B82F7F"/>
    <w:rsid w:val="00B830F6"/>
    <w:rsid w:val="00B833CF"/>
    <w:rsid w:val="00B83625"/>
    <w:rsid w:val="00B8365B"/>
    <w:rsid w:val="00B83756"/>
    <w:rsid w:val="00B83F95"/>
    <w:rsid w:val="00B84258"/>
    <w:rsid w:val="00B848D3"/>
    <w:rsid w:val="00B8492E"/>
    <w:rsid w:val="00B84CD3"/>
    <w:rsid w:val="00B8504A"/>
    <w:rsid w:val="00B851A6"/>
    <w:rsid w:val="00B853EB"/>
    <w:rsid w:val="00B85473"/>
    <w:rsid w:val="00B85610"/>
    <w:rsid w:val="00B85AC7"/>
    <w:rsid w:val="00B85EF8"/>
    <w:rsid w:val="00B85FA4"/>
    <w:rsid w:val="00B864B4"/>
    <w:rsid w:val="00B8671F"/>
    <w:rsid w:val="00B86AF8"/>
    <w:rsid w:val="00B86C17"/>
    <w:rsid w:val="00B86DC4"/>
    <w:rsid w:val="00B86F06"/>
    <w:rsid w:val="00B87116"/>
    <w:rsid w:val="00B87804"/>
    <w:rsid w:val="00B87911"/>
    <w:rsid w:val="00B87B2E"/>
    <w:rsid w:val="00B87D15"/>
    <w:rsid w:val="00B90290"/>
    <w:rsid w:val="00B904F3"/>
    <w:rsid w:val="00B90D5C"/>
    <w:rsid w:val="00B91004"/>
    <w:rsid w:val="00B91221"/>
    <w:rsid w:val="00B91290"/>
    <w:rsid w:val="00B91690"/>
    <w:rsid w:val="00B91930"/>
    <w:rsid w:val="00B925CF"/>
    <w:rsid w:val="00B92AC1"/>
    <w:rsid w:val="00B92E54"/>
    <w:rsid w:val="00B9369D"/>
    <w:rsid w:val="00B93B8A"/>
    <w:rsid w:val="00B93E58"/>
    <w:rsid w:val="00B93E5D"/>
    <w:rsid w:val="00B93EDE"/>
    <w:rsid w:val="00B94093"/>
    <w:rsid w:val="00B942DD"/>
    <w:rsid w:val="00B9435D"/>
    <w:rsid w:val="00B94505"/>
    <w:rsid w:val="00B9461A"/>
    <w:rsid w:val="00B947AE"/>
    <w:rsid w:val="00B9480D"/>
    <w:rsid w:val="00B94864"/>
    <w:rsid w:val="00B94B42"/>
    <w:rsid w:val="00B94CE6"/>
    <w:rsid w:val="00B94DE1"/>
    <w:rsid w:val="00B953C7"/>
    <w:rsid w:val="00B95E32"/>
    <w:rsid w:val="00B96402"/>
    <w:rsid w:val="00B96403"/>
    <w:rsid w:val="00B97887"/>
    <w:rsid w:val="00B97BF6"/>
    <w:rsid w:val="00BA0022"/>
    <w:rsid w:val="00BA02A4"/>
    <w:rsid w:val="00BA0705"/>
    <w:rsid w:val="00BA0BA6"/>
    <w:rsid w:val="00BA0C10"/>
    <w:rsid w:val="00BA0D0B"/>
    <w:rsid w:val="00BA0F3A"/>
    <w:rsid w:val="00BA1037"/>
    <w:rsid w:val="00BA1612"/>
    <w:rsid w:val="00BA1899"/>
    <w:rsid w:val="00BA18AF"/>
    <w:rsid w:val="00BA1BE0"/>
    <w:rsid w:val="00BA1C0B"/>
    <w:rsid w:val="00BA25C2"/>
    <w:rsid w:val="00BA25F2"/>
    <w:rsid w:val="00BA2CF7"/>
    <w:rsid w:val="00BA3002"/>
    <w:rsid w:val="00BA34B1"/>
    <w:rsid w:val="00BA39C4"/>
    <w:rsid w:val="00BA3CA2"/>
    <w:rsid w:val="00BA3DD0"/>
    <w:rsid w:val="00BA4275"/>
    <w:rsid w:val="00BA42A1"/>
    <w:rsid w:val="00BA4919"/>
    <w:rsid w:val="00BA4AAB"/>
    <w:rsid w:val="00BA5002"/>
    <w:rsid w:val="00BA509E"/>
    <w:rsid w:val="00BA50B6"/>
    <w:rsid w:val="00BA5655"/>
    <w:rsid w:val="00BA569C"/>
    <w:rsid w:val="00BA573A"/>
    <w:rsid w:val="00BA57E8"/>
    <w:rsid w:val="00BA5AE7"/>
    <w:rsid w:val="00BA606B"/>
    <w:rsid w:val="00BA62C6"/>
    <w:rsid w:val="00BA7383"/>
    <w:rsid w:val="00BA76FF"/>
    <w:rsid w:val="00BA77BF"/>
    <w:rsid w:val="00BA7DC5"/>
    <w:rsid w:val="00BB0187"/>
    <w:rsid w:val="00BB058D"/>
    <w:rsid w:val="00BB0A1E"/>
    <w:rsid w:val="00BB1094"/>
    <w:rsid w:val="00BB10BF"/>
    <w:rsid w:val="00BB129E"/>
    <w:rsid w:val="00BB1624"/>
    <w:rsid w:val="00BB16A5"/>
    <w:rsid w:val="00BB19B9"/>
    <w:rsid w:val="00BB1C8D"/>
    <w:rsid w:val="00BB1FAD"/>
    <w:rsid w:val="00BB222A"/>
    <w:rsid w:val="00BB22F6"/>
    <w:rsid w:val="00BB2559"/>
    <w:rsid w:val="00BB2E0A"/>
    <w:rsid w:val="00BB31B3"/>
    <w:rsid w:val="00BB31DD"/>
    <w:rsid w:val="00BB3289"/>
    <w:rsid w:val="00BB34A3"/>
    <w:rsid w:val="00BB34FD"/>
    <w:rsid w:val="00BB3DDA"/>
    <w:rsid w:val="00BB4337"/>
    <w:rsid w:val="00BB43D9"/>
    <w:rsid w:val="00BB45D7"/>
    <w:rsid w:val="00BB4749"/>
    <w:rsid w:val="00BB4D58"/>
    <w:rsid w:val="00BB589E"/>
    <w:rsid w:val="00BB5B59"/>
    <w:rsid w:val="00BB623A"/>
    <w:rsid w:val="00BB63BE"/>
    <w:rsid w:val="00BB64C8"/>
    <w:rsid w:val="00BB657A"/>
    <w:rsid w:val="00BB67EB"/>
    <w:rsid w:val="00BB68A6"/>
    <w:rsid w:val="00BB6D6F"/>
    <w:rsid w:val="00BB7BF0"/>
    <w:rsid w:val="00BB7CC0"/>
    <w:rsid w:val="00BB7DC5"/>
    <w:rsid w:val="00BB7F18"/>
    <w:rsid w:val="00BC020A"/>
    <w:rsid w:val="00BC087C"/>
    <w:rsid w:val="00BC0D4C"/>
    <w:rsid w:val="00BC1096"/>
    <w:rsid w:val="00BC134E"/>
    <w:rsid w:val="00BC148A"/>
    <w:rsid w:val="00BC158C"/>
    <w:rsid w:val="00BC173C"/>
    <w:rsid w:val="00BC20CF"/>
    <w:rsid w:val="00BC20E4"/>
    <w:rsid w:val="00BC224E"/>
    <w:rsid w:val="00BC239A"/>
    <w:rsid w:val="00BC2542"/>
    <w:rsid w:val="00BC259C"/>
    <w:rsid w:val="00BC28B4"/>
    <w:rsid w:val="00BC295D"/>
    <w:rsid w:val="00BC2EB0"/>
    <w:rsid w:val="00BC3077"/>
    <w:rsid w:val="00BC347C"/>
    <w:rsid w:val="00BC371B"/>
    <w:rsid w:val="00BC388A"/>
    <w:rsid w:val="00BC38A1"/>
    <w:rsid w:val="00BC3C73"/>
    <w:rsid w:val="00BC3E96"/>
    <w:rsid w:val="00BC4060"/>
    <w:rsid w:val="00BC41C2"/>
    <w:rsid w:val="00BC4434"/>
    <w:rsid w:val="00BC454B"/>
    <w:rsid w:val="00BC48AD"/>
    <w:rsid w:val="00BC49CB"/>
    <w:rsid w:val="00BC4A90"/>
    <w:rsid w:val="00BC4AC5"/>
    <w:rsid w:val="00BC512C"/>
    <w:rsid w:val="00BC53F3"/>
    <w:rsid w:val="00BC5411"/>
    <w:rsid w:val="00BC577C"/>
    <w:rsid w:val="00BC5A78"/>
    <w:rsid w:val="00BC5AC9"/>
    <w:rsid w:val="00BC5D36"/>
    <w:rsid w:val="00BC5E8F"/>
    <w:rsid w:val="00BC62D0"/>
    <w:rsid w:val="00BC6580"/>
    <w:rsid w:val="00BC6A30"/>
    <w:rsid w:val="00BC6B16"/>
    <w:rsid w:val="00BC6CDB"/>
    <w:rsid w:val="00BC721D"/>
    <w:rsid w:val="00BC7415"/>
    <w:rsid w:val="00BC74A7"/>
    <w:rsid w:val="00BC7FA7"/>
    <w:rsid w:val="00BD0B3B"/>
    <w:rsid w:val="00BD0B7C"/>
    <w:rsid w:val="00BD0C83"/>
    <w:rsid w:val="00BD0FAE"/>
    <w:rsid w:val="00BD132A"/>
    <w:rsid w:val="00BD1331"/>
    <w:rsid w:val="00BD2293"/>
    <w:rsid w:val="00BD2D50"/>
    <w:rsid w:val="00BD31B6"/>
    <w:rsid w:val="00BD32E3"/>
    <w:rsid w:val="00BD34CB"/>
    <w:rsid w:val="00BD36B7"/>
    <w:rsid w:val="00BD3DA9"/>
    <w:rsid w:val="00BD41AF"/>
    <w:rsid w:val="00BD4654"/>
    <w:rsid w:val="00BD466B"/>
    <w:rsid w:val="00BD4752"/>
    <w:rsid w:val="00BD4882"/>
    <w:rsid w:val="00BD4CED"/>
    <w:rsid w:val="00BD4DB9"/>
    <w:rsid w:val="00BD55D7"/>
    <w:rsid w:val="00BD57BF"/>
    <w:rsid w:val="00BD5B52"/>
    <w:rsid w:val="00BD5B9B"/>
    <w:rsid w:val="00BD5BCB"/>
    <w:rsid w:val="00BD5C18"/>
    <w:rsid w:val="00BD628E"/>
    <w:rsid w:val="00BD64EC"/>
    <w:rsid w:val="00BD6542"/>
    <w:rsid w:val="00BD65B8"/>
    <w:rsid w:val="00BD6DB3"/>
    <w:rsid w:val="00BD7CCB"/>
    <w:rsid w:val="00BE0D24"/>
    <w:rsid w:val="00BE1455"/>
    <w:rsid w:val="00BE15C5"/>
    <w:rsid w:val="00BE167A"/>
    <w:rsid w:val="00BE239B"/>
    <w:rsid w:val="00BE28D2"/>
    <w:rsid w:val="00BE2A8D"/>
    <w:rsid w:val="00BE2A91"/>
    <w:rsid w:val="00BE2C10"/>
    <w:rsid w:val="00BE3001"/>
    <w:rsid w:val="00BE30F3"/>
    <w:rsid w:val="00BE33FB"/>
    <w:rsid w:val="00BE3456"/>
    <w:rsid w:val="00BE3F03"/>
    <w:rsid w:val="00BE3FAB"/>
    <w:rsid w:val="00BE4743"/>
    <w:rsid w:val="00BE4D6C"/>
    <w:rsid w:val="00BE4DAD"/>
    <w:rsid w:val="00BE56EC"/>
    <w:rsid w:val="00BE585F"/>
    <w:rsid w:val="00BE60C7"/>
    <w:rsid w:val="00BE619A"/>
    <w:rsid w:val="00BE6536"/>
    <w:rsid w:val="00BE6A43"/>
    <w:rsid w:val="00BE6FFF"/>
    <w:rsid w:val="00BE7264"/>
    <w:rsid w:val="00BE761D"/>
    <w:rsid w:val="00BE7BBF"/>
    <w:rsid w:val="00BF0531"/>
    <w:rsid w:val="00BF0BB4"/>
    <w:rsid w:val="00BF0D5D"/>
    <w:rsid w:val="00BF14FC"/>
    <w:rsid w:val="00BF1530"/>
    <w:rsid w:val="00BF15F3"/>
    <w:rsid w:val="00BF161F"/>
    <w:rsid w:val="00BF189B"/>
    <w:rsid w:val="00BF1CA8"/>
    <w:rsid w:val="00BF2101"/>
    <w:rsid w:val="00BF2659"/>
    <w:rsid w:val="00BF26C9"/>
    <w:rsid w:val="00BF2B8B"/>
    <w:rsid w:val="00BF2C92"/>
    <w:rsid w:val="00BF31CF"/>
    <w:rsid w:val="00BF386C"/>
    <w:rsid w:val="00BF4286"/>
    <w:rsid w:val="00BF429E"/>
    <w:rsid w:val="00BF435E"/>
    <w:rsid w:val="00BF4B45"/>
    <w:rsid w:val="00BF4DC0"/>
    <w:rsid w:val="00BF5942"/>
    <w:rsid w:val="00BF5A6A"/>
    <w:rsid w:val="00BF5F56"/>
    <w:rsid w:val="00BF622A"/>
    <w:rsid w:val="00BF6840"/>
    <w:rsid w:val="00BF6CE1"/>
    <w:rsid w:val="00BF6E17"/>
    <w:rsid w:val="00BF71C9"/>
    <w:rsid w:val="00BF7412"/>
    <w:rsid w:val="00BF7475"/>
    <w:rsid w:val="00BF7559"/>
    <w:rsid w:val="00BF7781"/>
    <w:rsid w:val="00BF7840"/>
    <w:rsid w:val="00BF7C43"/>
    <w:rsid w:val="00BF7C52"/>
    <w:rsid w:val="00BF7F0C"/>
    <w:rsid w:val="00C001A0"/>
    <w:rsid w:val="00C0042C"/>
    <w:rsid w:val="00C007EF"/>
    <w:rsid w:val="00C00D64"/>
    <w:rsid w:val="00C00E8B"/>
    <w:rsid w:val="00C01054"/>
    <w:rsid w:val="00C01278"/>
    <w:rsid w:val="00C01B2A"/>
    <w:rsid w:val="00C01E4F"/>
    <w:rsid w:val="00C02753"/>
    <w:rsid w:val="00C028E1"/>
    <w:rsid w:val="00C029DD"/>
    <w:rsid w:val="00C02E04"/>
    <w:rsid w:val="00C033CE"/>
    <w:rsid w:val="00C03AC6"/>
    <w:rsid w:val="00C03B0D"/>
    <w:rsid w:val="00C04254"/>
    <w:rsid w:val="00C042DF"/>
    <w:rsid w:val="00C04582"/>
    <w:rsid w:val="00C04610"/>
    <w:rsid w:val="00C04A2A"/>
    <w:rsid w:val="00C04A7C"/>
    <w:rsid w:val="00C04B22"/>
    <w:rsid w:val="00C04B6C"/>
    <w:rsid w:val="00C04EB3"/>
    <w:rsid w:val="00C050B1"/>
    <w:rsid w:val="00C05346"/>
    <w:rsid w:val="00C0636B"/>
    <w:rsid w:val="00C074D0"/>
    <w:rsid w:val="00C07895"/>
    <w:rsid w:val="00C07A44"/>
    <w:rsid w:val="00C07FF6"/>
    <w:rsid w:val="00C1052E"/>
    <w:rsid w:val="00C10647"/>
    <w:rsid w:val="00C1087C"/>
    <w:rsid w:val="00C10ABF"/>
    <w:rsid w:val="00C10AF9"/>
    <w:rsid w:val="00C10C6E"/>
    <w:rsid w:val="00C1116B"/>
    <w:rsid w:val="00C116C2"/>
    <w:rsid w:val="00C1182C"/>
    <w:rsid w:val="00C11B32"/>
    <w:rsid w:val="00C12041"/>
    <w:rsid w:val="00C12DEF"/>
    <w:rsid w:val="00C12F59"/>
    <w:rsid w:val="00C130C1"/>
    <w:rsid w:val="00C1352E"/>
    <w:rsid w:val="00C13597"/>
    <w:rsid w:val="00C138A7"/>
    <w:rsid w:val="00C1391E"/>
    <w:rsid w:val="00C13A01"/>
    <w:rsid w:val="00C14290"/>
    <w:rsid w:val="00C14629"/>
    <w:rsid w:val="00C14642"/>
    <w:rsid w:val="00C14D62"/>
    <w:rsid w:val="00C14E8B"/>
    <w:rsid w:val="00C14F20"/>
    <w:rsid w:val="00C15287"/>
    <w:rsid w:val="00C15B5C"/>
    <w:rsid w:val="00C15CF0"/>
    <w:rsid w:val="00C15D5A"/>
    <w:rsid w:val="00C15EFA"/>
    <w:rsid w:val="00C16267"/>
    <w:rsid w:val="00C17120"/>
    <w:rsid w:val="00C17F9D"/>
    <w:rsid w:val="00C2015D"/>
    <w:rsid w:val="00C209CE"/>
    <w:rsid w:val="00C20BDC"/>
    <w:rsid w:val="00C20D0E"/>
    <w:rsid w:val="00C21075"/>
    <w:rsid w:val="00C21134"/>
    <w:rsid w:val="00C21625"/>
    <w:rsid w:val="00C2162A"/>
    <w:rsid w:val="00C21687"/>
    <w:rsid w:val="00C216A8"/>
    <w:rsid w:val="00C21C3D"/>
    <w:rsid w:val="00C22637"/>
    <w:rsid w:val="00C2269A"/>
    <w:rsid w:val="00C22929"/>
    <w:rsid w:val="00C22B6D"/>
    <w:rsid w:val="00C22C32"/>
    <w:rsid w:val="00C22E49"/>
    <w:rsid w:val="00C2374F"/>
    <w:rsid w:val="00C23796"/>
    <w:rsid w:val="00C2396A"/>
    <w:rsid w:val="00C23EE5"/>
    <w:rsid w:val="00C24319"/>
    <w:rsid w:val="00C243CC"/>
    <w:rsid w:val="00C244E4"/>
    <w:rsid w:val="00C249E6"/>
    <w:rsid w:val="00C24F66"/>
    <w:rsid w:val="00C259E6"/>
    <w:rsid w:val="00C25E30"/>
    <w:rsid w:val="00C25E4E"/>
    <w:rsid w:val="00C25F3F"/>
    <w:rsid w:val="00C26266"/>
    <w:rsid w:val="00C26794"/>
    <w:rsid w:val="00C26AEF"/>
    <w:rsid w:val="00C26BDF"/>
    <w:rsid w:val="00C26D9C"/>
    <w:rsid w:val="00C27190"/>
    <w:rsid w:val="00C271CC"/>
    <w:rsid w:val="00C274AA"/>
    <w:rsid w:val="00C27AF7"/>
    <w:rsid w:val="00C27D00"/>
    <w:rsid w:val="00C27E5C"/>
    <w:rsid w:val="00C3004A"/>
    <w:rsid w:val="00C3039C"/>
    <w:rsid w:val="00C30484"/>
    <w:rsid w:val="00C3067E"/>
    <w:rsid w:val="00C30872"/>
    <w:rsid w:val="00C30971"/>
    <w:rsid w:val="00C30DF8"/>
    <w:rsid w:val="00C310BF"/>
    <w:rsid w:val="00C310EB"/>
    <w:rsid w:val="00C3126F"/>
    <w:rsid w:val="00C31373"/>
    <w:rsid w:val="00C31789"/>
    <w:rsid w:val="00C31A26"/>
    <w:rsid w:val="00C31ADD"/>
    <w:rsid w:val="00C31BB7"/>
    <w:rsid w:val="00C31C20"/>
    <w:rsid w:val="00C32188"/>
    <w:rsid w:val="00C321F7"/>
    <w:rsid w:val="00C32639"/>
    <w:rsid w:val="00C32691"/>
    <w:rsid w:val="00C32881"/>
    <w:rsid w:val="00C3323D"/>
    <w:rsid w:val="00C3359C"/>
    <w:rsid w:val="00C3367D"/>
    <w:rsid w:val="00C33DDC"/>
    <w:rsid w:val="00C33EB2"/>
    <w:rsid w:val="00C340AF"/>
    <w:rsid w:val="00C34405"/>
    <w:rsid w:val="00C346B8"/>
    <w:rsid w:val="00C34B32"/>
    <w:rsid w:val="00C34BE9"/>
    <w:rsid w:val="00C34F7E"/>
    <w:rsid w:val="00C353AC"/>
    <w:rsid w:val="00C35417"/>
    <w:rsid w:val="00C359F1"/>
    <w:rsid w:val="00C35EB1"/>
    <w:rsid w:val="00C3626C"/>
    <w:rsid w:val="00C368D9"/>
    <w:rsid w:val="00C36C14"/>
    <w:rsid w:val="00C36F51"/>
    <w:rsid w:val="00C36FF3"/>
    <w:rsid w:val="00C370C8"/>
    <w:rsid w:val="00C37371"/>
    <w:rsid w:val="00C374E5"/>
    <w:rsid w:val="00C37771"/>
    <w:rsid w:val="00C37A59"/>
    <w:rsid w:val="00C37B81"/>
    <w:rsid w:val="00C405B8"/>
    <w:rsid w:val="00C4063F"/>
    <w:rsid w:val="00C407E3"/>
    <w:rsid w:val="00C40984"/>
    <w:rsid w:val="00C4144F"/>
    <w:rsid w:val="00C41812"/>
    <w:rsid w:val="00C418DF"/>
    <w:rsid w:val="00C41981"/>
    <w:rsid w:val="00C41B00"/>
    <w:rsid w:val="00C4216B"/>
    <w:rsid w:val="00C4270E"/>
    <w:rsid w:val="00C42904"/>
    <w:rsid w:val="00C42AD0"/>
    <w:rsid w:val="00C43396"/>
    <w:rsid w:val="00C43534"/>
    <w:rsid w:val="00C43A4F"/>
    <w:rsid w:val="00C43D93"/>
    <w:rsid w:val="00C44130"/>
    <w:rsid w:val="00C44292"/>
    <w:rsid w:val="00C44C0C"/>
    <w:rsid w:val="00C44DBD"/>
    <w:rsid w:val="00C44E79"/>
    <w:rsid w:val="00C4501E"/>
    <w:rsid w:val="00C452CC"/>
    <w:rsid w:val="00C4592A"/>
    <w:rsid w:val="00C45BF9"/>
    <w:rsid w:val="00C46412"/>
    <w:rsid w:val="00C4666E"/>
    <w:rsid w:val="00C4681C"/>
    <w:rsid w:val="00C4697B"/>
    <w:rsid w:val="00C469F4"/>
    <w:rsid w:val="00C46A26"/>
    <w:rsid w:val="00C46C05"/>
    <w:rsid w:val="00C46E1F"/>
    <w:rsid w:val="00C47474"/>
    <w:rsid w:val="00C47890"/>
    <w:rsid w:val="00C47972"/>
    <w:rsid w:val="00C47EAB"/>
    <w:rsid w:val="00C50417"/>
    <w:rsid w:val="00C50FF4"/>
    <w:rsid w:val="00C51016"/>
    <w:rsid w:val="00C5101B"/>
    <w:rsid w:val="00C51369"/>
    <w:rsid w:val="00C5141E"/>
    <w:rsid w:val="00C51513"/>
    <w:rsid w:val="00C52A81"/>
    <w:rsid w:val="00C52D7A"/>
    <w:rsid w:val="00C53DF5"/>
    <w:rsid w:val="00C5461C"/>
    <w:rsid w:val="00C548E6"/>
    <w:rsid w:val="00C54A10"/>
    <w:rsid w:val="00C55314"/>
    <w:rsid w:val="00C55398"/>
    <w:rsid w:val="00C55D34"/>
    <w:rsid w:val="00C5605B"/>
    <w:rsid w:val="00C560F1"/>
    <w:rsid w:val="00C5639B"/>
    <w:rsid w:val="00C574AB"/>
    <w:rsid w:val="00C576C1"/>
    <w:rsid w:val="00C57986"/>
    <w:rsid w:val="00C579EF"/>
    <w:rsid w:val="00C602BC"/>
    <w:rsid w:val="00C60619"/>
    <w:rsid w:val="00C60681"/>
    <w:rsid w:val="00C608E2"/>
    <w:rsid w:val="00C60BFB"/>
    <w:rsid w:val="00C61135"/>
    <w:rsid w:val="00C61265"/>
    <w:rsid w:val="00C6183A"/>
    <w:rsid w:val="00C61B6D"/>
    <w:rsid w:val="00C61CCA"/>
    <w:rsid w:val="00C61D2B"/>
    <w:rsid w:val="00C61E76"/>
    <w:rsid w:val="00C622A8"/>
    <w:rsid w:val="00C62E0B"/>
    <w:rsid w:val="00C62E77"/>
    <w:rsid w:val="00C63268"/>
    <w:rsid w:val="00C63522"/>
    <w:rsid w:val="00C6391A"/>
    <w:rsid w:val="00C6391E"/>
    <w:rsid w:val="00C63DCD"/>
    <w:rsid w:val="00C63E25"/>
    <w:rsid w:val="00C64237"/>
    <w:rsid w:val="00C64752"/>
    <w:rsid w:val="00C648DC"/>
    <w:rsid w:val="00C64939"/>
    <w:rsid w:val="00C64A72"/>
    <w:rsid w:val="00C64C8B"/>
    <w:rsid w:val="00C64E94"/>
    <w:rsid w:val="00C64F85"/>
    <w:rsid w:val="00C652CC"/>
    <w:rsid w:val="00C65A8E"/>
    <w:rsid w:val="00C65BAC"/>
    <w:rsid w:val="00C65D61"/>
    <w:rsid w:val="00C6600F"/>
    <w:rsid w:val="00C661C1"/>
    <w:rsid w:val="00C66443"/>
    <w:rsid w:val="00C665C1"/>
    <w:rsid w:val="00C66603"/>
    <w:rsid w:val="00C66656"/>
    <w:rsid w:val="00C66895"/>
    <w:rsid w:val="00C66995"/>
    <w:rsid w:val="00C66B2C"/>
    <w:rsid w:val="00C66E7E"/>
    <w:rsid w:val="00C67679"/>
    <w:rsid w:val="00C67749"/>
    <w:rsid w:val="00C679AF"/>
    <w:rsid w:val="00C67DEC"/>
    <w:rsid w:val="00C705C9"/>
    <w:rsid w:val="00C70A97"/>
    <w:rsid w:val="00C70D0C"/>
    <w:rsid w:val="00C70E8A"/>
    <w:rsid w:val="00C70F80"/>
    <w:rsid w:val="00C71226"/>
    <w:rsid w:val="00C71482"/>
    <w:rsid w:val="00C717B1"/>
    <w:rsid w:val="00C7188C"/>
    <w:rsid w:val="00C71D17"/>
    <w:rsid w:val="00C7244C"/>
    <w:rsid w:val="00C725B1"/>
    <w:rsid w:val="00C72A2F"/>
    <w:rsid w:val="00C72E95"/>
    <w:rsid w:val="00C72F73"/>
    <w:rsid w:val="00C72FDF"/>
    <w:rsid w:val="00C72FEB"/>
    <w:rsid w:val="00C73999"/>
    <w:rsid w:val="00C74AC6"/>
    <w:rsid w:val="00C74F3F"/>
    <w:rsid w:val="00C75045"/>
    <w:rsid w:val="00C75A10"/>
    <w:rsid w:val="00C762FE"/>
    <w:rsid w:val="00C76829"/>
    <w:rsid w:val="00C76867"/>
    <w:rsid w:val="00C76958"/>
    <w:rsid w:val="00C76A13"/>
    <w:rsid w:val="00C77259"/>
    <w:rsid w:val="00C77361"/>
    <w:rsid w:val="00C77427"/>
    <w:rsid w:val="00C7743E"/>
    <w:rsid w:val="00C775EB"/>
    <w:rsid w:val="00C77E8D"/>
    <w:rsid w:val="00C77F2A"/>
    <w:rsid w:val="00C80589"/>
    <w:rsid w:val="00C80A2A"/>
    <w:rsid w:val="00C80AA9"/>
    <w:rsid w:val="00C80B2E"/>
    <w:rsid w:val="00C80CA8"/>
    <w:rsid w:val="00C810D7"/>
    <w:rsid w:val="00C8149B"/>
    <w:rsid w:val="00C8164D"/>
    <w:rsid w:val="00C816EB"/>
    <w:rsid w:val="00C81C19"/>
    <w:rsid w:val="00C81CD4"/>
    <w:rsid w:val="00C81E24"/>
    <w:rsid w:val="00C822D0"/>
    <w:rsid w:val="00C822E0"/>
    <w:rsid w:val="00C82A9D"/>
    <w:rsid w:val="00C83457"/>
    <w:rsid w:val="00C847D8"/>
    <w:rsid w:val="00C84814"/>
    <w:rsid w:val="00C84BBE"/>
    <w:rsid w:val="00C84FAC"/>
    <w:rsid w:val="00C84FB0"/>
    <w:rsid w:val="00C84FFA"/>
    <w:rsid w:val="00C8574B"/>
    <w:rsid w:val="00C857C3"/>
    <w:rsid w:val="00C8605B"/>
    <w:rsid w:val="00C862F2"/>
    <w:rsid w:val="00C862F5"/>
    <w:rsid w:val="00C86502"/>
    <w:rsid w:val="00C865B6"/>
    <w:rsid w:val="00C867FF"/>
    <w:rsid w:val="00C86BBA"/>
    <w:rsid w:val="00C86D47"/>
    <w:rsid w:val="00C86E0C"/>
    <w:rsid w:val="00C87169"/>
    <w:rsid w:val="00C873B2"/>
    <w:rsid w:val="00C87550"/>
    <w:rsid w:val="00C875AA"/>
    <w:rsid w:val="00C8796F"/>
    <w:rsid w:val="00C87BAE"/>
    <w:rsid w:val="00C87D40"/>
    <w:rsid w:val="00C87DC0"/>
    <w:rsid w:val="00C9016E"/>
    <w:rsid w:val="00C902D4"/>
    <w:rsid w:val="00C9077A"/>
    <w:rsid w:val="00C90E3C"/>
    <w:rsid w:val="00C9149B"/>
    <w:rsid w:val="00C921F6"/>
    <w:rsid w:val="00C925C8"/>
    <w:rsid w:val="00C92741"/>
    <w:rsid w:val="00C92A6A"/>
    <w:rsid w:val="00C92AAE"/>
    <w:rsid w:val="00C92DBD"/>
    <w:rsid w:val="00C92E54"/>
    <w:rsid w:val="00C92EAA"/>
    <w:rsid w:val="00C932AC"/>
    <w:rsid w:val="00C933CD"/>
    <w:rsid w:val="00C93649"/>
    <w:rsid w:val="00C93982"/>
    <w:rsid w:val="00C93E10"/>
    <w:rsid w:val="00C93ED8"/>
    <w:rsid w:val="00C94034"/>
    <w:rsid w:val="00C9432B"/>
    <w:rsid w:val="00C9497C"/>
    <w:rsid w:val="00C949C4"/>
    <w:rsid w:val="00C94C6F"/>
    <w:rsid w:val="00C9505B"/>
    <w:rsid w:val="00C952BE"/>
    <w:rsid w:val="00C954F4"/>
    <w:rsid w:val="00C956CB"/>
    <w:rsid w:val="00C95A24"/>
    <w:rsid w:val="00C95A41"/>
    <w:rsid w:val="00C95AD4"/>
    <w:rsid w:val="00C95D33"/>
    <w:rsid w:val="00C95FAB"/>
    <w:rsid w:val="00C96577"/>
    <w:rsid w:val="00C96750"/>
    <w:rsid w:val="00C96971"/>
    <w:rsid w:val="00C96A01"/>
    <w:rsid w:val="00C96E14"/>
    <w:rsid w:val="00C977D6"/>
    <w:rsid w:val="00C97D98"/>
    <w:rsid w:val="00CA0ACA"/>
    <w:rsid w:val="00CA1510"/>
    <w:rsid w:val="00CA1D5B"/>
    <w:rsid w:val="00CA2105"/>
    <w:rsid w:val="00CA23A1"/>
    <w:rsid w:val="00CA24F6"/>
    <w:rsid w:val="00CA25C9"/>
    <w:rsid w:val="00CA2854"/>
    <w:rsid w:val="00CA306D"/>
    <w:rsid w:val="00CA3E29"/>
    <w:rsid w:val="00CA40EF"/>
    <w:rsid w:val="00CA4D19"/>
    <w:rsid w:val="00CA512D"/>
    <w:rsid w:val="00CA5135"/>
    <w:rsid w:val="00CA561A"/>
    <w:rsid w:val="00CA56EB"/>
    <w:rsid w:val="00CA59ED"/>
    <w:rsid w:val="00CA59FA"/>
    <w:rsid w:val="00CA5C11"/>
    <w:rsid w:val="00CA638E"/>
    <w:rsid w:val="00CA660C"/>
    <w:rsid w:val="00CA6E28"/>
    <w:rsid w:val="00CA6E32"/>
    <w:rsid w:val="00CA70D8"/>
    <w:rsid w:val="00CA793A"/>
    <w:rsid w:val="00CA795A"/>
    <w:rsid w:val="00CA79DC"/>
    <w:rsid w:val="00CA7CAB"/>
    <w:rsid w:val="00CB00E3"/>
    <w:rsid w:val="00CB03A7"/>
    <w:rsid w:val="00CB072C"/>
    <w:rsid w:val="00CB0A1D"/>
    <w:rsid w:val="00CB19C6"/>
    <w:rsid w:val="00CB1C45"/>
    <w:rsid w:val="00CB1FBB"/>
    <w:rsid w:val="00CB2157"/>
    <w:rsid w:val="00CB233F"/>
    <w:rsid w:val="00CB289D"/>
    <w:rsid w:val="00CB298C"/>
    <w:rsid w:val="00CB38A1"/>
    <w:rsid w:val="00CB3BEC"/>
    <w:rsid w:val="00CB3DB8"/>
    <w:rsid w:val="00CB3F1E"/>
    <w:rsid w:val="00CB401C"/>
    <w:rsid w:val="00CB496E"/>
    <w:rsid w:val="00CB4C90"/>
    <w:rsid w:val="00CB4EDF"/>
    <w:rsid w:val="00CB56F7"/>
    <w:rsid w:val="00CB599A"/>
    <w:rsid w:val="00CB5A7D"/>
    <w:rsid w:val="00CB5E83"/>
    <w:rsid w:val="00CB6596"/>
    <w:rsid w:val="00CB696B"/>
    <w:rsid w:val="00CB70B6"/>
    <w:rsid w:val="00CB7195"/>
    <w:rsid w:val="00CB733F"/>
    <w:rsid w:val="00CB75A0"/>
    <w:rsid w:val="00CB7745"/>
    <w:rsid w:val="00CB7883"/>
    <w:rsid w:val="00CB7B3F"/>
    <w:rsid w:val="00CB7BB7"/>
    <w:rsid w:val="00CC0045"/>
    <w:rsid w:val="00CC0352"/>
    <w:rsid w:val="00CC0A77"/>
    <w:rsid w:val="00CC0FF0"/>
    <w:rsid w:val="00CC10E4"/>
    <w:rsid w:val="00CC131E"/>
    <w:rsid w:val="00CC14E2"/>
    <w:rsid w:val="00CC1A0F"/>
    <w:rsid w:val="00CC1E18"/>
    <w:rsid w:val="00CC1F63"/>
    <w:rsid w:val="00CC25A3"/>
    <w:rsid w:val="00CC2B84"/>
    <w:rsid w:val="00CC2CBA"/>
    <w:rsid w:val="00CC2FBA"/>
    <w:rsid w:val="00CC3410"/>
    <w:rsid w:val="00CC3503"/>
    <w:rsid w:val="00CC3CAE"/>
    <w:rsid w:val="00CC437D"/>
    <w:rsid w:val="00CC449F"/>
    <w:rsid w:val="00CC44EB"/>
    <w:rsid w:val="00CC453D"/>
    <w:rsid w:val="00CC46AD"/>
    <w:rsid w:val="00CC4782"/>
    <w:rsid w:val="00CC493D"/>
    <w:rsid w:val="00CC4AAA"/>
    <w:rsid w:val="00CC4CC0"/>
    <w:rsid w:val="00CC5027"/>
    <w:rsid w:val="00CC52B3"/>
    <w:rsid w:val="00CC62D7"/>
    <w:rsid w:val="00CC6DE5"/>
    <w:rsid w:val="00CC6E93"/>
    <w:rsid w:val="00CC75FF"/>
    <w:rsid w:val="00CC7700"/>
    <w:rsid w:val="00CC7CA5"/>
    <w:rsid w:val="00CC7F6F"/>
    <w:rsid w:val="00CD105C"/>
    <w:rsid w:val="00CD125D"/>
    <w:rsid w:val="00CD19AB"/>
    <w:rsid w:val="00CD1B70"/>
    <w:rsid w:val="00CD1E1D"/>
    <w:rsid w:val="00CD1FA1"/>
    <w:rsid w:val="00CD2058"/>
    <w:rsid w:val="00CD2298"/>
    <w:rsid w:val="00CD2364"/>
    <w:rsid w:val="00CD23A7"/>
    <w:rsid w:val="00CD2739"/>
    <w:rsid w:val="00CD2BF8"/>
    <w:rsid w:val="00CD2CAA"/>
    <w:rsid w:val="00CD2E69"/>
    <w:rsid w:val="00CD2EF6"/>
    <w:rsid w:val="00CD302E"/>
    <w:rsid w:val="00CD310F"/>
    <w:rsid w:val="00CD3402"/>
    <w:rsid w:val="00CD3AD5"/>
    <w:rsid w:val="00CD3CBE"/>
    <w:rsid w:val="00CD3E16"/>
    <w:rsid w:val="00CD4460"/>
    <w:rsid w:val="00CD4B83"/>
    <w:rsid w:val="00CD4D14"/>
    <w:rsid w:val="00CD4D7B"/>
    <w:rsid w:val="00CD4DCB"/>
    <w:rsid w:val="00CD508E"/>
    <w:rsid w:val="00CD509F"/>
    <w:rsid w:val="00CD583F"/>
    <w:rsid w:val="00CD58CF"/>
    <w:rsid w:val="00CD5E89"/>
    <w:rsid w:val="00CD5E91"/>
    <w:rsid w:val="00CD6329"/>
    <w:rsid w:val="00CD63D5"/>
    <w:rsid w:val="00CD64EC"/>
    <w:rsid w:val="00CD68A6"/>
    <w:rsid w:val="00CD6E1F"/>
    <w:rsid w:val="00CD6EF8"/>
    <w:rsid w:val="00CD7230"/>
    <w:rsid w:val="00CD72C3"/>
    <w:rsid w:val="00CD75DD"/>
    <w:rsid w:val="00CE028B"/>
    <w:rsid w:val="00CE02D5"/>
    <w:rsid w:val="00CE07C0"/>
    <w:rsid w:val="00CE0979"/>
    <w:rsid w:val="00CE0BF7"/>
    <w:rsid w:val="00CE0D34"/>
    <w:rsid w:val="00CE1454"/>
    <w:rsid w:val="00CE1530"/>
    <w:rsid w:val="00CE184A"/>
    <w:rsid w:val="00CE1B00"/>
    <w:rsid w:val="00CE1C7E"/>
    <w:rsid w:val="00CE20E3"/>
    <w:rsid w:val="00CE21B2"/>
    <w:rsid w:val="00CE2262"/>
    <w:rsid w:val="00CE23BF"/>
    <w:rsid w:val="00CE272A"/>
    <w:rsid w:val="00CE30D5"/>
    <w:rsid w:val="00CE39B9"/>
    <w:rsid w:val="00CE3A91"/>
    <w:rsid w:val="00CE3C1E"/>
    <w:rsid w:val="00CE3E51"/>
    <w:rsid w:val="00CE3FA2"/>
    <w:rsid w:val="00CE49C6"/>
    <w:rsid w:val="00CE4A27"/>
    <w:rsid w:val="00CE4BE0"/>
    <w:rsid w:val="00CE5093"/>
    <w:rsid w:val="00CE55F2"/>
    <w:rsid w:val="00CE5985"/>
    <w:rsid w:val="00CE6077"/>
    <w:rsid w:val="00CE63AF"/>
    <w:rsid w:val="00CE63FC"/>
    <w:rsid w:val="00CE6459"/>
    <w:rsid w:val="00CE663B"/>
    <w:rsid w:val="00CE677E"/>
    <w:rsid w:val="00CE67C3"/>
    <w:rsid w:val="00CE67E9"/>
    <w:rsid w:val="00CE688D"/>
    <w:rsid w:val="00CE6AD9"/>
    <w:rsid w:val="00CE729D"/>
    <w:rsid w:val="00CE7DA2"/>
    <w:rsid w:val="00CE7ED3"/>
    <w:rsid w:val="00CE7ED7"/>
    <w:rsid w:val="00CF0323"/>
    <w:rsid w:val="00CF0334"/>
    <w:rsid w:val="00CF05B1"/>
    <w:rsid w:val="00CF0A68"/>
    <w:rsid w:val="00CF0DB8"/>
    <w:rsid w:val="00CF0DC7"/>
    <w:rsid w:val="00CF1083"/>
    <w:rsid w:val="00CF1A52"/>
    <w:rsid w:val="00CF1F9D"/>
    <w:rsid w:val="00CF26D3"/>
    <w:rsid w:val="00CF3057"/>
    <w:rsid w:val="00CF3962"/>
    <w:rsid w:val="00CF3D1D"/>
    <w:rsid w:val="00CF41A0"/>
    <w:rsid w:val="00CF47B7"/>
    <w:rsid w:val="00CF4A3B"/>
    <w:rsid w:val="00CF4DF0"/>
    <w:rsid w:val="00CF5266"/>
    <w:rsid w:val="00CF5AA2"/>
    <w:rsid w:val="00CF5E97"/>
    <w:rsid w:val="00CF643F"/>
    <w:rsid w:val="00CF6A43"/>
    <w:rsid w:val="00CF6FA0"/>
    <w:rsid w:val="00CF74EF"/>
    <w:rsid w:val="00CF74F3"/>
    <w:rsid w:val="00CF76ED"/>
    <w:rsid w:val="00CF7A08"/>
    <w:rsid w:val="00CF7AC2"/>
    <w:rsid w:val="00CF7D4E"/>
    <w:rsid w:val="00D0012A"/>
    <w:rsid w:val="00D00261"/>
    <w:rsid w:val="00D005AE"/>
    <w:rsid w:val="00D00627"/>
    <w:rsid w:val="00D00753"/>
    <w:rsid w:val="00D00AF6"/>
    <w:rsid w:val="00D00BC9"/>
    <w:rsid w:val="00D00F01"/>
    <w:rsid w:val="00D0176D"/>
    <w:rsid w:val="00D01C51"/>
    <w:rsid w:val="00D022A6"/>
    <w:rsid w:val="00D0273E"/>
    <w:rsid w:val="00D028A1"/>
    <w:rsid w:val="00D02C8C"/>
    <w:rsid w:val="00D03133"/>
    <w:rsid w:val="00D0335A"/>
    <w:rsid w:val="00D0382E"/>
    <w:rsid w:val="00D0385E"/>
    <w:rsid w:val="00D04033"/>
    <w:rsid w:val="00D041D3"/>
    <w:rsid w:val="00D04BC2"/>
    <w:rsid w:val="00D05645"/>
    <w:rsid w:val="00D05840"/>
    <w:rsid w:val="00D05B5A"/>
    <w:rsid w:val="00D05C04"/>
    <w:rsid w:val="00D05D0A"/>
    <w:rsid w:val="00D05D88"/>
    <w:rsid w:val="00D05DBE"/>
    <w:rsid w:val="00D06AC8"/>
    <w:rsid w:val="00D07164"/>
    <w:rsid w:val="00D074A8"/>
    <w:rsid w:val="00D07620"/>
    <w:rsid w:val="00D07E3D"/>
    <w:rsid w:val="00D07EBE"/>
    <w:rsid w:val="00D07F69"/>
    <w:rsid w:val="00D1001B"/>
    <w:rsid w:val="00D10225"/>
    <w:rsid w:val="00D10537"/>
    <w:rsid w:val="00D10949"/>
    <w:rsid w:val="00D10A3C"/>
    <w:rsid w:val="00D10F15"/>
    <w:rsid w:val="00D1106B"/>
    <w:rsid w:val="00D116AD"/>
    <w:rsid w:val="00D11825"/>
    <w:rsid w:val="00D120CF"/>
    <w:rsid w:val="00D1232B"/>
    <w:rsid w:val="00D13375"/>
    <w:rsid w:val="00D13826"/>
    <w:rsid w:val="00D13949"/>
    <w:rsid w:val="00D14292"/>
    <w:rsid w:val="00D143AF"/>
    <w:rsid w:val="00D1442D"/>
    <w:rsid w:val="00D1462B"/>
    <w:rsid w:val="00D14674"/>
    <w:rsid w:val="00D14741"/>
    <w:rsid w:val="00D14899"/>
    <w:rsid w:val="00D14CAB"/>
    <w:rsid w:val="00D14EB3"/>
    <w:rsid w:val="00D15B53"/>
    <w:rsid w:val="00D15FB1"/>
    <w:rsid w:val="00D16431"/>
    <w:rsid w:val="00D1678A"/>
    <w:rsid w:val="00D1679A"/>
    <w:rsid w:val="00D16901"/>
    <w:rsid w:val="00D16B6F"/>
    <w:rsid w:val="00D16D5F"/>
    <w:rsid w:val="00D16DC1"/>
    <w:rsid w:val="00D16ED8"/>
    <w:rsid w:val="00D17194"/>
    <w:rsid w:val="00D171FA"/>
    <w:rsid w:val="00D17219"/>
    <w:rsid w:val="00D17568"/>
    <w:rsid w:val="00D175EC"/>
    <w:rsid w:val="00D17977"/>
    <w:rsid w:val="00D179A7"/>
    <w:rsid w:val="00D17A70"/>
    <w:rsid w:val="00D20371"/>
    <w:rsid w:val="00D211BD"/>
    <w:rsid w:val="00D21454"/>
    <w:rsid w:val="00D216B5"/>
    <w:rsid w:val="00D21FA6"/>
    <w:rsid w:val="00D22011"/>
    <w:rsid w:val="00D22907"/>
    <w:rsid w:val="00D22DC2"/>
    <w:rsid w:val="00D22E0A"/>
    <w:rsid w:val="00D22E23"/>
    <w:rsid w:val="00D22EA7"/>
    <w:rsid w:val="00D23261"/>
    <w:rsid w:val="00D23A24"/>
    <w:rsid w:val="00D23AE0"/>
    <w:rsid w:val="00D23C74"/>
    <w:rsid w:val="00D23E87"/>
    <w:rsid w:val="00D24158"/>
    <w:rsid w:val="00D24757"/>
    <w:rsid w:val="00D2488B"/>
    <w:rsid w:val="00D24F0A"/>
    <w:rsid w:val="00D25486"/>
    <w:rsid w:val="00D254FB"/>
    <w:rsid w:val="00D25C3E"/>
    <w:rsid w:val="00D25E5E"/>
    <w:rsid w:val="00D2605A"/>
    <w:rsid w:val="00D26067"/>
    <w:rsid w:val="00D262D2"/>
    <w:rsid w:val="00D263C7"/>
    <w:rsid w:val="00D2682A"/>
    <w:rsid w:val="00D268B1"/>
    <w:rsid w:val="00D26CD9"/>
    <w:rsid w:val="00D26E5E"/>
    <w:rsid w:val="00D2752B"/>
    <w:rsid w:val="00D27C57"/>
    <w:rsid w:val="00D27E59"/>
    <w:rsid w:val="00D27FB6"/>
    <w:rsid w:val="00D30104"/>
    <w:rsid w:val="00D30310"/>
    <w:rsid w:val="00D3054D"/>
    <w:rsid w:val="00D30626"/>
    <w:rsid w:val="00D306DD"/>
    <w:rsid w:val="00D309DD"/>
    <w:rsid w:val="00D30A98"/>
    <w:rsid w:val="00D30B5F"/>
    <w:rsid w:val="00D30BA1"/>
    <w:rsid w:val="00D30CAC"/>
    <w:rsid w:val="00D30E68"/>
    <w:rsid w:val="00D31427"/>
    <w:rsid w:val="00D316E3"/>
    <w:rsid w:val="00D31A8A"/>
    <w:rsid w:val="00D31D50"/>
    <w:rsid w:val="00D31DC4"/>
    <w:rsid w:val="00D32601"/>
    <w:rsid w:val="00D328D4"/>
    <w:rsid w:val="00D32D5F"/>
    <w:rsid w:val="00D32E13"/>
    <w:rsid w:val="00D33387"/>
    <w:rsid w:val="00D33617"/>
    <w:rsid w:val="00D33880"/>
    <w:rsid w:val="00D339AB"/>
    <w:rsid w:val="00D33DE5"/>
    <w:rsid w:val="00D33F6B"/>
    <w:rsid w:val="00D3427E"/>
    <w:rsid w:val="00D3457F"/>
    <w:rsid w:val="00D3470A"/>
    <w:rsid w:val="00D34730"/>
    <w:rsid w:val="00D34D1C"/>
    <w:rsid w:val="00D34F71"/>
    <w:rsid w:val="00D34FD1"/>
    <w:rsid w:val="00D35292"/>
    <w:rsid w:val="00D35B9A"/>
    <w:rsid w:val="00D365A9"/>
    <w:rsid w:val="00D368AD"/>
    <w:rsid w:val="00D36F03"/>
    <w:rsid w:val="00D37BDB"/>
    <w:rsid w:val="00D4002D"/>
    <w:rsid w:val="00D40544"/>
    <w:rsid w:val="00D4059C"/>
    <w:rsid w:val="00D40609"/>
    <w:rsid w:val="00D406A4"/>
    <w:rsid w:val="00D406C1"/>
    <w:rsid w:val="00D4089A"/>
    <w:rsid w:val="00D408BC"/>
    <w:rsid w:val="00D40A6D"/>
    <w:rsid w:val="00D40AD3"/>
    <w:rsid w:val="00D4130A"/>
    <w:rsid w:val="00D415DB"/>
    <w:rsid w:val="00D41880"/>
    <w:rsid w:val="00D419EF"/>
    <w:rsid w:val="00D4213A"/>
    <w:rsid w:val="00D42226"/>
    <w:rsid w:val="00D42293"/>
    <w:rsid w:val="00D428FA"/>
    <w:rsid w:val="00D42EE5"/>
    <w:rsid w:val="00D44696"/>
    <w:rsid w:val="00D44698"/>
    <w:rsid w:val="00D44965"/>
    <w:rsid w:val="00D44D9D"/>
    <w:rsid w:val="00D44E4D"/>
    <w:rsid w:val="00D45074"/>
    <w:rsid w:val="00D453EB"/>
    <w:rsid w:val="00D45638"/>
    <w:rsid w:val="00D456F1"/>
    <w:rsid w:val="00D45B29"/>
    <w:rsid w:val="00D45DF4"/>
    <w:rsid w:val="00D45FB9"/>
    <w:rsid w:val="00D46144"/>
    <w:rsid w:val="00D462A5"/>
    <w:rsid w:val="00D462B4"/>
    <w:rsid w:val="00D464BB"/>
    <w:rsid w:val="00D464C8"/>
    <w:rsid w:val="00D465BF"/>
    <w:rsid w:val="00D46A9A"/>
    <w:rsid w:val="00D46DD8"/>
    <w:rsid w:val="00D5013B"/>
    <w:rsid w:val="00D50816"/>
    <w:rsid w:val="00D509D1"/>
    <w:rsid w:val="00D50A0B"/>
    <w:rsid w:val="00D50D67"/>
    <w:rsid w:val="00D50F04"/>
    <w:rsid w:val="00D50FEA"/>
    <w:rsid w:val="00D51ACC"/>
    <w:rsid w:val="00D5209F"/>
    <w:rsid w:val="00D5258A"/>
    <w:rsid w:val="00D526AB"/>
    <w:rsid w:val="00D526FA"/>
    <w:rsid w:val="00D5287D"/>
    <w:rsid w:val="00D52AF2"/>
    <w:rsid w:val="00D53383"/>
    <w:rsid w:val="00D533AC"/>
    <w:rsid w:val="00D533AF"/>
    <w:rsid w:val="00D534E0"/>
    <w:rsid w:val="00D53783"/>
    <w:rsid w:val="00D537D3"/>
    <w:rsid w:val="00D53A57"/>
    <w:rsid w:val="00D53B6A"/>
    <w:rsid w:val="00D53C71"/>
    <w:rsid w:val="00D54514"/>
    <w:rsid w:val="00D546E9"/>
    <w:rsid w:val="00D549EB"/>
    <w:rsid w:val="00D55125"/>
    <w:rsid w:val="00D551E4"/>
    <w:rsid w:val="00D55200"/>
    <w:rsid w:val="00D552E7"/>
    <w:rsid w:val="00D5567F"/>
    <w:rsid w:val="00D5571A"/>
    <w:rsid w:val="00D55BC9"/>
    <w:rsid w:val="00D55FD1"/>
    <w:rsid w:val="00D562B8"/>
    <w:rsid w:val="00D56A02"/>
    <w:rsid w:val="00D56BBB"/>
    <w:rsid w:val="00D56C94"/>
    <w:rsid w:val="00D57519"/>
    <w:rsid w:val="00D579E5"/>
    <w:rsid w:val="00D57D42"/>
    <w:rsid w:val="00D6019F"/>
    <w:rsid w:val="00D60555"/>
    <w:rsid w:val="00D61148"/>
    <w:rsid w:val="00D61334"/>
    <w:rsid w:val="00D6136E"/>
    <w:rsid w:val="00D6188A"/>
    <w:rsid w:val="00D6196A"/>
    <w:rsid w:val="00D61A27"/>
    <w:rsid w:val="00D62174"/>
    <w:rsid w:val="00D62201"/>
    <w:rsid w:val="00D6226E"/>
    <w:rsid w:val="00D63677"/>
    <w:rsid w:val="00D636AD"/>
    <w:rsid w:val="00D63781"/>
    <w:rsid w:val="00D63B19"/>
    <w:rsid w:val="00D63C41"/>
    <w:rsid w:val="00D63C7F"/>
    <w:rsid w:val="00D63C81"/>
    <w:rsid w:val="00D63C9C"/>
    <w:rsid w:val="00D6426B"/>
    <w:rsid w:val="00D64352"/>
    <w:rsid w:val="00D643CE"/>
    <w:rsid w:val="00D6454F"/>
    <w:rsid w:val="00D64584"/>
    <w:rsid w:val="00D64A05"/>
    <w:rsid w:val="00D64AF4"/>
    <w:rsid w:val="00D64C8E"/>
    <w:rsid w:val="00D64E1D"/>
    <w:rsid w:val="00D65016"/>
    <w:rsid w:val="00D6511B"/>
    <w:rsid w:val="00D65626"/>
    <w:rsid w:val="00D65627"/>
    <w:rsid w:val="00D65F59"/>
    <w:rsid w:val="00D66059"/>
    <w:rsid w:val="00D6611E"/>
    <w:rsid w:val="00D66164"/>
    <w:rsid w:val="00D668C9"/>
    <w:rsid w:val="00D66E5D"/>
    <w:rsid w:val="00D6748F"/>
    <w:rsid w:val="00D674DF"/>
    <w:rsid w:val="00D67738"/>
    <w:rsid w:val="00D67954"/>
    <w:rsid w:val="00D700BE"/>
    <w:rsid w:val="00D705A0"/>
    <w:rsid w:val="00D7072D"/>
    <w:rsid w:val="00D71145"/>
    <w:rsid w:val="00D717AC"/>
    <w:rsid w:val="00D71867"/>
    <w:rsid w:val="00D71EC0"/>
    <w:rsid w:val="00D72105"/>
    <w:rsid w:val="00D721F3"/>
    <w:rsid w:val="00D722C6"/>
    <w:rsid w:val="00D7236C"/>
    <w:rsid w:val="00D7279E"/>
    <w:rsid w:val="00D7293F"/>
    <w:rsid w:val="00D72B9D"/>
    <w:rsid w:val="00D72EA5"/>
    <w:rsid w:val="00D730A5"/>
    <w:rsid w:val="00D73268"/>
    <w:rsid w:val="00D73463"/>
    <w:rsid w:val="00D734DB"/>
    <w:rsid w:val="00D737B9"/>
    <w:rsid w:val="00D73E4A"/>
    <w:rsid w:val="00D740CF"/>
    <w:rsid w:val="00D747F4"/>
    <w:rsid w:val="00D748F8"/>
    <w:rsid w:val="00D74AC8"/>
    <w:rsid w:val="00D74E0E"/>
    <w:rsid w:val="00D751F0"/>
    <w:rsid w:val="00D75252"/>
    <w:rsid w:val="00D755CD"/>
    <w:rsid w:val="00D75FE4"/>
    <w:rsid w:val="00D7636E"/>
    <w:rsid w:val="00D767F4"/>
    <w:rsid w:val="00D76AAC"/>
    <w:rsid w:val="00D76F58"/>
    <w:rsid w:val="00D77B69"/>
    <w:rsid w:val="00D803C4"/>
    <w:rsid w:val="00D805B4"/>
    <w:rsid w:val="00D80688"/>
    <w:rsid w:val="00D80932"/>
    <w:rsid w:val="00D80B6B"/>
    <w:rsid w:val="00D80C48"/>
    <w:rsid w:val="00D80E50"/>
    <w:rsid w:val="00D81101"/>
    <w:rsid w:val="00D811B0"/>
    <w:rsid w:val="00D813BB"/>
    <w:rsid w:val="00D8155D"/>
    <w:rsid w:val="00D81D8A"/>
    <w:rsid w:val="00D82B41"/>
    <w:rsid w:val="00D82FFA"/>
    <w:rsid w:val="00D8309A"/>
    <w:rsid w:val="00D83122"/>
    <w:rsid w:val="00D83CBB"/>
    <w:rsid w:val="00D841AC"/>
    <w:rsid w:val="00D845AA"/>
    <w:rsid w:val="00D84A50"/>
    <w:rsid w:val="00D84D2B"/>
    <w:rsid w:val="00D859A1"/>
    <w:rsid w:val="00D85FE8"/>
    <w:rsid w:val="00D8645C"/>
    <w:rsid w:val="00D86847"/>
    <w:rsid w:val="00D86B62"/>
    <w:rsid w:val="00D87040"/>
    <w:rsid w:val="00D874FA"/>
    <w:rsid w:val="00D878A0"/>
    <w:rsid w:val="00D87E05"/>
    <w:rsid w:val="00D90194"/>
    <w:rsid w:val="00D90499"/>
    <w:rsid w:val="00D904D4"/>
    <w:rsid w:val="00D90787"/>
    <w:rsid w:val="00D9082E"/>
    <w:rsid w:val="00D90A8A"/>
    <w:rsid w:val="00D9113C"/>
    <w:rsid w:val="00D911B6"/>
    <w:rsid w:val="00D914BF"/>
    <w:rsid w:val="00D915FD"/>
    <w:rsid w:val="00D91984"/>
    <w:rsid w:val="00D919FD"/>
    <w:rsid w:val="00D92222"/>
    <w:rsid w:val="00D92683"/>
    <w:rsid w:val="00D92841"/>
    <w:rsid w:val="00D929CE"/>
    <w:rsid w:val="00D92C43"/>
    <w:rsid w:val="00D92CC8"/>
    <w:rsid w:val="00D9333E"/>
    <w:rsid w:val="00D9335B"/>
    <w:rsid w:val="00D933A2"/>
    <w:rsid w:val="00D93625"/>
    <w:rsid w:val="00D936C0"/>
    <w:rsid w:val="00D93DE9"/>
    <w:rsid w:val="00D941A2"/>
    <w:rsid w:val="00D942FD"/>
    <w:rsid w:val="00D946A2"/>
    <w:rsid w:val="00D94AAD"/>
    <w:rsid w:val="00D94C53"/>
    <w:rsid w:val="00D94F65"/>
    <w:rsid w:val="00D952EC"/>
    <w:rsid w:val="00D9587D"/>
    <w:rsid w:val="00D95A56"/>
    <w:rsid w:val="00D95B14"/>
    <w:rsid w:val="00D95DDB"/>
    <w:rsid w:val="00D95F9B"/>
    <w:rsid w:val="00D9626E"/>
    <w:rsid w:val="00D96835"/>
    <w:rsid w:val="00D969A1"/>
    <w:rsid w:val="00D970A7"/>
    <w:rsid w:val="00D97655"/>
    <w:rsid w:val="00D977E8"/>
    <w:rsid w:val="00D97E22"/>
    <w:rsid w:val="00DA02D2"/>
    <w:rsid w:val="00DA0568"/>
    <w:rsid w:val="00DA066C"/>
    <w:rsid w:val="00DA0C56"/>
    <w:rsid w:val="00DA0EB0"/>
    <w:rsid w:val="00DA0F3E"/>
    <w:rsid w:val="00DA13B8"/>
    <w:rsid w:val="00DA13DD"/>
    <w:rsid w:val="00DA157A"/>
    <w:rsid w:val="00DA199B"/>
    <w:rsid w:val="00DA19B5"/>
    <w:rsid w:val="00DA1A6F"/>
    <w:rsid w:val="00DA1D06"/>
    <w:rsid w:val="00DA2B2A"/>
    <w:rsid w:val="00DA2B96"/>
    <w:rsid w:val="00DA2C99"/>
    <w:rsid w:val="00DA2D6E"/>
    <w:rsid w:val="00DA3059"/>
    <w:rsid w:val="00DA3159"/>
    <w:rsid w:val="00DA3DC4"/>
    <w:rsid w:val="00DA4C17"/>
    <w:rsid w:val="00DA5043"/>
    <w:rsid w:val="00DA5397"/>
    <w:rsid w:val="00DA5971"/>
    <w:rsid w:val="00DA6151"/>
    <w:rsid w:val="00DA6499"/>
    <w:rsid w:val="00DA650F"/>
    <w:rsid w:val="00DA66D8"/>
    <w:rsid w:val="00DA684D"/>
    <w:rsid w:val="00DA6A49"/>
    <w:rsid w:val="00DA70C8"/>
    <w:rsid w:val="00DA7D50"/>
    <w:rsid w:val="00DA7EB7"/>
    <w:rsid w:val="00DB0159"/>
    <w:rsid w:val="00DB0248"/>
    <w:rsid w:val="00DB048A"/>
    <w:rsid w:val="00DB052D"/>
    <w:rsid w:val="00DB07E5"/>
    <w:rsid w:val="00DB0E94"/>
    <w:rsid w:val="00DB0EDA"/>
    <w:rsid w:val="00DB11A4"/>
    <w:rsid w:val="00DB11F9"/>
    <w:rsid w:val="00DB1617"/>
    <w:rsid w:val="00DB1640"/>
    <w:rsid w:val="00DB1655"/>
    <w:rsid w:val="00DB18A6"/>
    <w:rsid w:val="00DB207A"/>
    <w:rsid w:val="00DB23B0"/>
    <w:rsid w:val="00DB2674"/>
    <w:rsid w:val="00DB27AF"/>
    <w:rsid w:val="00DB2991"/>
    <w:rsid w:val="00DB2BF5"/>
    <w:rsid w:val="00DB300D"/>
    <w:rsid w:val="00DB3269"/>
    <w:rsid w:val="00DB3389"/>
    <w:rsid w:val="00DB36D1"/>
    <w:rsid w:val="00DB3D20"/>
    <w:rsid w:val="00DB3F9B"/>
    <w:rsid w:val="00DB4292"/>
    <w:rsid w:val="00DB4514"/>
    <w:rsid w:val="00DB4A09"/>
    <w:rsid w:val="00DB4C31"/>
    <w:rsid w:val="00DB4D14"/>
    <w:rsid w:val="00DB5988"/>
    <w:rsid w:val="00DB5AD8"/>
    <w:rsid w:val="00DB5BDD"/>
    <w:rsid w:val="00DB5DA5"/>
    <w:rsid w:val="00DB5DD1"/>
    <w:rsid w:val="00DB6140"/>
    <w:rsid w:val="00DB62A1"/>
    <w:rsid w:val="00DB6464"/>
    <w:rsid w:val="00DB65B3"/>
    <w:rsid w:val="00DB66EF"/>
    <w:rsid w:val="00DB6C00"/>
    <w:rsid w:val="00DB6EFD"/>
    <w:rsid w:val="00DB6FE5"/>
    <w:rsid w:val="00DB7438"/>
    <w:rsid w:val="00DB74BE"/>
    <w:rsid w:val="00DB7593"/>
    <w:rsid w:val="00DC00DB"/>
    <w:rsid w:val="00DC035F"/>
    <w:rsid w:val="00DC075F"/>
    <w:rsid w:val="00DC0B64"/>
    <w:rsid w:val="00DC1096"/>
    <w:rsid w:val="00DC160C"/>
    <w:rsid w:val="00DC1BE7"/>
    <w:rsid w:val="00DC1EF5"/>
    <w:rsid w:val="00DC2034"/>
    <w:rsid w:val="00DC242E"/>
    <w:rsid w:val="00DC2823"/>
    <w:rsid w:val="00DC29DB"/>
    <w:rsid w:val="00DC2A25"/>
    <w:rsid w:val="00DC2C96"/>
    <w:rsid w:val="00DC2F5A"/>
    <w:rsid w:val="00DC31A8"/>
    <w:rsid w:val="00DC33BE"/>
    <w:rsid w:val="00DC3773"/>
    <w:rsid w:val="00DC3D94"/>
    <w:rsid w:val="00DC3DB3"/>
    <w:rsid w:val="00DC416F"/>
    <w:rsid w:val="00DC460F"/>
    <w:rsid w:val="00DC4C52"/>
    <w:rsid w:val="00DC50A1"/>
    <w:rsid w:val="00DC519D"/>
    <w:rsid w:val="00DC5528"/>
    <w:rsid w:val="00DC5933"/>
    <w:rsid w:val="00DC594D"/>
    <w:rsid w:val="00DC5D6B"/>
    <w:rsid w:val="00DC5D75"/>
    <w:rsid w:val="00DC6233"/>
    <w:rsid w:val="00DC6448"/>
    <w:rsid w:val="00DC6AF0"/>
    <w:rsid w:val="00DC6BC6"/>
    <w:rsid w:val="00DC6CDE"/>
    <w:rsid w:val="00DC6F0C"/>
    <w:rsid w:val="00DC7229"/>
    <w:rsid w:val="00DC743B"/>
    <w:rsid w:val="00DC7487"/>
    <w:rsid w:val="00DC7663"/>
    <w:rsid w:val="00DC7706"/>
    <w:rsid w:val="00DC792A"/>
    <w:rsid w:val="00DC7BB7"/>
    <w:rsid w:val="00DC7CD5"/>
    <w:rsid w:val="00DD086B"/>
    <w:rsid w:val="00DD0BF1"/>
    <w:rsid w:val="00DD0E69"/>
    <w:rsid w:val="00DD1222"/>
    <w:rsid w:val="00DD14C6"/>
    <w:rsid w:val="00DD17E5"/>
    <w:rsid w:val="00DD1C31"/>
    <w:rsid w:val="00DD203F"/>
    <w:rsid w:val="00DD2451"/>
    <w:rsid w:val="00DD25A9"/>
    <w:rsid w:val="00DD2A3F"/>
    <w:rsid w:val="00DD2AE9"/>
    <w:rsid w:val="00DD2CE8"/>
    <w:rsid w:val="00DD2D98"/>
    <w:rsid w:val="00DD3035"/>
    <w:rsid w:val="00DD3209"/>
    <w:rsid w:val="00DD3A24"/>
    <w:rsid w:val="00DD3AD6"/>
    <w:rsid w:val="00DD4138"/>
    <w:rsid w:val="00DD41CD"/>
    <w:rsid w:val="00DD458F"/>
    <w:rsid w:val="00DD45E8"/>
    <w:rsid w:val="00DD4780"/>
    <w:rsid w:val="00DD47D9"/>
    <w:rsid w:val="00DD489C"/>
    <w:rsid w:val="00DD4B3D"/>
    <w:rsid w:val="00DD4C0F"/>
    <w:rsid w:val="00DD4C1C"/>
    <w:rsid w:val="00DD4E3F"/>
    <w:rsid w:val="00DD4ECB"/>
    <w:rsid w:val="00DD4F00"/>
    <w:rsid w:val="00DD4F9B"/>
    <w:rsid w:val="00DD5303"/>
    <w:rsid w:val="00DD5306"/>
    <w:rsid w:val="00DD5332"/>
    <w:rsid w:val="00DD544E"/>
    <w:rsid w:val="00DD5AD9"/>
    <w:rsid w:val="00DD5F1A"/>
    <w:rsid w:val="00DD60FD"/>
    <w:rsid w:val="00DD6816"/>
    <w:rsid w:val="00DD69D8"/>
    <w:rsid w:val="00DD6B9B"/>
    <w:rsid w:val="00DD702C"/>
    <w:rsid w:val="00DD7407"/>
    <w:rsid w:val="00DD7920"/>
    <w:rsid w:val="00DD7B75"/>
    <w:rsid w:val="00DE04B1"/>
    <w:rsid w:val="00DE0542"/>
    <w:rsid w:val="00DE0565"/>
    <w:rsid w:val="00DE0C05"/>
    <w:rsid w:val="00DE0C35"/>
    <w:rsid w:val="00DE1179"/>
    <w:rsid w:val="00DE13B7"/>
    <w:rsid w:val="00DE15B4"/>
    <w:rsid w:val="00DE1664"/>
    <w:rsid w:val="00DE16B0"/>
    <w:rsid w:val="00DE1A2F"/>
    <w:rsid w:val="00DE1FA5"/>
    <w:rsid w:val="00DE2023"/>
    <w:rsid w:val="00DE223A"/>
    <w:rsid w:val="00DE2342"/>
    <w:rsid w:val="00DE2459"/>
    <w:rsid w:val="00DE2619"/>
    <w:rsid w:val="00DE2BE6"/>
    <w:rsid w:val="00DE2D52"/>
    <w:rsid w:val="00DE3375"/>
    <w:rsid w:val="00DE3552"/>
    <w:rsid w:val="00DE36C7"/>
    <w:rsid w:val="00DE3932"/>
    <w:rsid w:val="00DE39E2"/>
    <w:rsid w:val="00DE40E9"/>
    <w:rsid w:val="00DE4142"/>
    <w:rsid w:val="00DE419E"/>
    <w:rsid w:val="00DE41A2"/>
    <w:rsid w:val="00DE4378"/>
    <w:rsid w:val="00DE451B"/>
    <w:rsid w:val="00DE49D8"/>
    <w:rsid w:val="00DE49E4"/>
    <w:rsid w:val="00DE4B58"/>
    <w:rsid w:val="00DE4E8C"/>
    <w:rsid w:val="00DE53A9"/>
    <w:rsid w:val="00DE5485"/>
    <w:rsid w:val="00DE5AEB"/>
    <w:rsid w:val="00DE5C71"/>
    <w:rsid w:val="00DE61A2"/>
    <w:rsid w:val="00DE6324"/>
    <w:rsid w:val="00DE6430"/>
    <w:rsid w:val="00DE672D"/>
    <w:rsid w:val="00DE677F"/>
    <w:rsid w:val="00DE67E6"/>
    <w:rsid w:val="00DE6897"/>
    <w:rsid w:val="00DE6DB6"/>
    <w:rsid w:val="00DE6F5B"/>
    <w:rsid w:val="00DE7003"/>
    <w:rsid w:val="00DE71A0"/>
    <w:rsid w:val="00DE7B4F"/>
    <w:rsid w:val="00DE7D15"/>
    <w:rsid w:val="00DF0038"/>
    <w:rsid w:val="00DF00F0"/>
    <w:rsid w:val="00DF0218"/>
    <w:rsid w:val="00DF02C5"/>
    <w:rsid w:val="00DF09F1"/>
    <w:rsid w:val="00DF14C7"/>
    <w:rsid w:val="00DF15B7"/>
    <w:rsid w:val="00DF1604"/>
    <w:rsid w:val="00DF1D1D"/>
    <w:rsid w:val="00DF2944"/>
    <w:rsid w:val="00DF2AAA"/>
    <w:rsid w:val="00DF2C13"/>
    <w:rsid w:val="00DF2EFB"/>
    <w:rsid w:val="00DF3000"/>
    <w:rsid w:val="00DF3059"/>
    <w:rsid w:val="00DF3408"/>
    <w:rsid w:val="00DF48BF"/>
    <w:rsid w:val="00DF4A99"/>
    <w:rsid w:val="00DF4B07"/>
    <w:rsid w:val="00DF4B1B"/>
    <w:rsid w:val="00DF534E"/>
    <w:rsid w:val="00DF5ABD"/>
    <w:rsid w:val="00DF5CA9"/>
    <w:rsid w:val="00DF5E0E"/>
    <w:rsid w:val="00DF5E12"/>
    <w:rsid w:val="00DF6092"/>
    <w:rsid w:val="00DF616D"/>
    <w:rsid w:val="00DF7757"/>
    <w:rsid w:val="00DF7931"/>
    <w:rsid w:val="00DF7AE8"/>
    <w:rsid w:val="00DF7CB9"/>
    <w:rsid w:val="00E00086"/>
    <w:rsid w:val="00E003C4"/>
    <w:rsid w:val="00E0050B"/>
    <w:rsid w:val="00E00A53"/>
    <w:rsid w:val="00E00B10"/>
    <w:rsid w:val="00E00CA8"/>
    <w:rsid w:val="00E013B5"/>
    <w:rsid w:val="00E01908"/>
    <w:rsid w:val="00E01E25"/>
    <w:rsid w:val="00E01F6B"/>
    <w:rsid w:val="00E0205F"/>
    <w:rsid w:val="00E0216A"/>
    <w:rsid w:val="00E0220A"/>
    <w:rsid w:val="00E024CD"/>
    <w:rsid w:val="00E02B25"/>
    <w:rsid w:val="00E03156"/>
    <w:rsid w:val="00E031C2"/>
    <w:rsid w:val="00E03ACF"/>
    <w:rsid w:val="00E04066"/>
    <w:rsid w:val="00E04644"/>
    <w:rsid w:val="00E04B0A"/>
    <w:rsid w:val="00E04B92"/>
    <w:rsid w:val="00E04F2A"/>
    <w:rsid w:val="00E053DD"/>
    <w:rsid w:val="00E053EB"/>
    <w:rsid w:val="00E05540"/>
    <w:rsid w:val="00E057B0"/>
    <w:rsid w:val="00E05DD7"/>
    <w:rsid w:val="00E05DEE"/>
    <w:rsid w:val="00E05E3C"/>
    <w:rsid w:val="00E0629D"/>
    <w:rsid w:val="00E0666D"/>
    <w:rsid w:val="00E06A2E"/>
    <w:rsid w:val="00E06B55"/>
    <w:rsid w:val="00E06F17"/>
    <w:rsid w:val="00E073F5"/>
    <w:rsid w:val="00E07475"/>
    <w:rsid w:val="00E0747F"/>
    <w:rsid w:val="00E07CA5"/>
    <w:rsid w:val="00E07D89"/>
    <w:rsid w:val="00E07E1F"/>
    <w:rsid w:val="00E07EA8"/>
    <w:rsid w:val="00E07F3D"/>
    <w:rsid w:val="00E07FDE"/>
    <w:rsid w:val="00E10397"/>
    <w:rsid w:val="00E10825"/>
    <w:rsid w:val="00E108A7"/>
    <w:rsid w:val="00E1090A"/>
    <w:rsid w:val="00E10E1F"/>
    <w:rsid w:val="00E11318"/>
    <w:rsid w:val="00E1156B"/>
    <w:rsid w:val="00E11E5E"/>
    <w:rsid w:val="00E12033"/>
    <w:rsid w:val="00E120AD"/>
    <w:rsid w:val="00E122A4"/>
    <w:rsid w:val="00E1234F"/>
    <w:rsid w:val="00E12554"/>
    <w:rsid w:val="00E1284B"/>
    <w:rsid w:val="00E12B23"/>
    <w:rsid w:val="00E13041"/>
    <w:rsid w:val="00E130BD"/>
    <w:rsid w:val="00E133B0"/>
    <w:rsid w:val="00E13426"/>
    <w:rsid w:val="00E136F5"/>
    <w:rsid w:val="00E137B8"/>
    <w:rsid w:val="00E1403A"/>
    <w:rsid w:val="00E145F2"/>
    <w:rsid w:val="00E14714"/>
    <w:rsid w:val="00E15079"/>
    <w:rsid w:val="00E152B6"/>
    <w:rsid w:val="00E152D5"/>
    <w:rsid w:val="00E15471"/>
    <w:rsid w:val="00E157E9"/>
    <w:rsid w:val="00E1582A"/>
    <w:rsid w:val="00E15A52"/>
    <w:rsid w:val="00E1602A"/>
    <w:rsid w:val="00E160BC"/>
    <w:rsid w:val="00E161E7"/>
    <w:rsid w:val="00E16361"/>
    <w:rsid w:val="00E16C0F"/>
    <w:rsid w:val="00E16F6A"/>
    <w:rsid w:val="00E17240"/>
    <w:rsid w:val="00E173A2"/>
    <w:rsid w:val="00E173FD"/>
    <w:rsid w:val="00E174AB"/>
    <w:rsid w:val="00E179B1"/>
    <w:rsid w:val="00E17AEC"/>
    <w:rsid w:val="00E2049F"/>
    <w:rsid w:val="00E208CE"/>
    <w:rsid w:val="00E20C08"/>
    <w:rsid w:val="00E21298"/>
    <w:rsid w:val="00E21334"/>
    <w:rsid w:val="00E21559"/>
    <w:rsid w:val="00E216BB"/>
    <w:rsid w:val="00E21C12"/>
    <w:rsid w:val="00E21E07"/>
    <w:rsid w:val="00E21E87"/>
    <w:rsid w:val="00E21F58"/>
    <w:rsid w:val="00E228A6"/>
    <w:rsid w:val="00E22CFB"/>
    <w:rsid w:val="00E22D02"/>
    <w:rsid w:val="00E22DA0"/>
    <w:rsid w:val="00E23226"/>
    <w:rsid w:val="00E233C0"/>
    <w:rsid w:val="00E234AA"/>
    <w:rsid w:val="00E243CF"/>
    <w:rsid w:val="00E2449E"/>
    <w:rsid w:val="00E24A23"/>
    <w:rsid w:val="00E24A3B"/>
    <w:rsid w:val="00E24DAD"/>
    <w:rsid w:val="00E2518F"/>
    <w:rsid w:val="00E254C0"/>
    <w:rsid w:val="00E255BF"/>
    <w:rsid w:val="00E25852"/>
    <w:rsid w:val="00E25B0C"/>
    <w:rsid w:val="00E25BD3"/>
    <w:rsid w:val="00E25E4A"/>
    <w:rsid w:val="00E26250"/>
    <w:rsid w:val="00E26B8F"/>
    <w:rsid w:val="00E26D43"/>
    <w:rsid w:val="00E26EC5"/>
    <w:rsid w:val="00E26F4A"/>
    <w:rsid w:val="00E27001"/>
    <w:rsid w:val="00E2758D"/>
    <w:rsid w:val="00E30305"/>
    <w:rsid w:val="00E306D5"/>
    <w:rsid w:val="00E3089F"/>
    <w:rsid w:val="00E30D83"/>
    <w:rsid w:val="00E30E22"/>
    <w:rsid w:val="00E3108B"/>
    <w:rsid w:val="00E311C4"/>
    <w:rsid w:val="00E311C7"/>
    <w:rsid w:val="00E31718"/>
    <w:rsid w:val="00E31BC5"/>
    <w:rsid w:val="00E3232D"/>
    <w:rsid w:val="00E3311F"/>
    <w:rsid w:val="00E332DE"/>
    <w:rsid w:val="00E334EF"/>
    <w:rsid w:val="00E33BC5"/>
    <w:rsid w:val="00E33D04"/>
    <w:rsid w:val="00E33DEB"/>
    <w:rsid w:val="00E342CC"/>
    <w:rsid w:val="00E3446D"/>
    <w:rsid w:val="00E34536"/>
    <w:rsid w:val="00E345DA"/>
    <w:rsid w:val="00E3474C"/>
    <w:rsid w:val="00E34BD1"/>
    <w:rsid w:val="00E34E4C"/>
    <w:rsid w:val="00E34FA0"/>
    <w:rsid w:val="00E35041"/>
    <w:rsid w:val="00E3561D"/>
    <w:rsid w:val="00E358F8"/>
    <w:rsid w:val="00E35BE8"/>
    <w:rsid w:val="00E35F8E"/>
    <w:rsid w:val="00E3632E"/>
    <w:rsid w:val="00E3658A"/>
    <w:rsid w:val="00E3679A"/>
    <w:rsid w:val="00E36936"/>
    <w:rsid w:val="00E36A26"/>
    <w:rsid w:val="00E36CCA"/>
    <w:rsid w:val="00E36DA0"/>
    <w:rsid w:val="00E373A2"/>
    <w:rsid w:val="00E3795F"/>
    <w:rsid w:val="00E37CA0"/>
    <w:rsid w:val="00E4087C"/>
    <w:rsid w:val="00E4115E"/>
    <w:rsid w:val="00E41420"/>
    <w:rsid w:val="00E4214A"/>
    <w:rsid w:val="00E42654"/>
    <w:rsid w:val="00E427EE"/>
    <w:rsid w:val="00E42882"/>
    <w:rsid w:val="00E4288F"/>
    <w:rsid w:val="00E42BAE"/>
    <w:rsid w:val="00E42D46"/>
    <w:rsid w:val="00E42E16"/>
    <w:rsid w:val="00E42EE5"/>
    <w:rsid w:val="00E42FCA"/>
    <w:rsid w:val="00E43063"/>
    <w:rsid w:val="00E4331E"/>
    <w:rsid w:val="00E43B13"/>
    <w:rsid w:val="00E43D79"/>
    <w:rsid w:val="00E43E30"/>
    <w:rsid w:val="00E4408D"/>
    <w:rsid w:val="00E4418B"/>
    <w:rsid w:val="00E4423C"/>
    <w:rsid w:val="00E44684"/>
    <w:rsid w:val="00E45939"/>
    <w:rsid w:val="00E45C0D"/>
    <w:rsid w:val="00E46085"/>
    <w:rsid w:val="00E46195"/>
    <w:rsid w:val="00E46858"/>
    <w:rsid w:val="00E470EF"/>
    <w:rsid w:val="00E47569"/>
    <w:rsid w:val="00E476C2"/>
    <w:rsid w:val="00E47759"/>
    <w:rsid w:val="00E479A2"/>
    <w:rsid w:val="00E47ADB"/>
    <w:rsid w:val="00E47E1F"/>
    <w:rsid w:val="00E5043A"/>
    <w:rsid w:val="00E50A2E"/>
    <w:rsid w:val="00E50F50"/>
    <w:rsid w:val="00E50FF9"/>
    <w:rsid w:val="00E5100B"/>
    <w:rsid w:val="00E512E3"/>
    <w:rsid w:val="00E512F0"/>
    <w:rsid w:val="00E51610"/>
    <w:rsid w:val="00E519F1"/>
    <w:rsid w:val="00E51A4F"/>
    <w:rsid w:val="00E51B7B"/>
    <w:rsid w:val="00E52279"/>
    <w:rsid w:val="00E52A90"/>
    <w:rsid w:val="00E52CDE"/>
    <w:rsid w:val="00E52EE5"/>
    <w:rsid w:val="00E52F37"/>
    <w:rsid w:val="00E52F3E"/>
    <w:rsid w:val="00E53424"/>
    <w:rsid w:val="00E5348F"/>
    <w:rsid w:val="00E538B9"/>
    <w:rsid w:val="00E53BED"/>
    <w:rsid w:val="00E53D44"/>
    <w:rsid w:val="00E54186"/>
    <w:rsid w:val="00E5420C"/>
    <w:rsid w:val="00E5447A"/>
    <w:rsid w:val="00E5487E"/>
    <w:rsid w:val="00E54B73"/>
    <w:rsid w:val="00E54FC3"/>
    <w:rsid w:val="00E552A2"/>
    <w:rsid w:val="00E553BA"/>
    <w:rsid w:val="00E55BFB"/>
    <w:rsid w:val="00E55D13"/>
    <w:rsid w:val="00E55ED0"/>
    <w:rsid w:val="00E55F28"/>
    <w:rsid w:val="00E56159"/>
    <w:rsid w:val="00E564BE"/>
    <w:rsid w:val="00E568CF"/>
    <w:rsid w:val="00E568DD"/>
    <w:rsid w:val="00E56C82"/>
    <w:rsid w:val="00E56DA8"/>
    <w:rsid w:val="00E56E0A"/>
    <w:rsid w:val="00E56E45"/>
    <w:rsid w:val="00E56FF2"/>
    <w:rsid w:val="00E5767C"/>
    <w:rsid w:val="00E57DBD"/>
    <w:rsid w:val="00E57E9D"/>
    <w:rsid w:val="00E57F32"/>
    <w:rsid w:val="00E60100"/>
    <w:rsid w:val="00E6023B"/>
    <w:rsid w:val="00E61331"/>
    <w:rsid w:val="00E61366"/>
    <w:rsid w:val="00E615E3"/>
    <w:rsid w:val="00E617C5"/>
    <w:rsid w:val="00E61B59"/>
    <w:rsid w:val="00E621A4"/>
    <w:rsid w:val="00E623C7"/>
    <w:rsid w:val="00E62729"/>
    <w:rsid w:val="00E62DC8"/>
    <w:rsid w:val="00E6322B"/>
    <w:rsid w:val="00E635BE"/>
    <w:rsid w:val="00E6377E"/>
    <w:rsid w:val="00E6468C"/>
    <w:rsid w:val="00E64839"/>
    <w:rsid w:val="00E64E0E"/>
    <w:rsid w:val="00E64E2E"/>
    <w:rsid w:val="00E6529C"/>
    <w:rsid w:val="00E653BB"/>
    <w:rsid w:val="00E65897"/>
    <w:rsid w:val="00E659D4"/>
    <w:rsid w:val="00E65A86"/>
    <w:rsid w:val="00E65D61"/>
    <w:rsid w:val="00E662BB"/>
    <w:rsid w:val="00E663A0"/>
    <w:rsid w:val="00E665C0"/>
    <w:rsid w:val="00E667CB"/>
    <w:rsid w:val="00E67102"/>
    <w:rsid w:val="00E673E7"/>
    <w:rsid w:val="00E67643"/>
    <w:rsid w:val="00E67992"/>
    <w:rsid w:val="00E67ABF"/>
    <w:rsid w:val="00E67EEB"/>
    <w:rsid w:val="00E7011D"/>
    <w:rsid w:val="00E7076C"/>
    <w:rsid w:val="00E709B5"/>
    <w:rsid w:val="00E70B75"/>
    <w:rsid w:val="00E70C36"/>
    <w:rsid w:val="00E70CD8"/>
    <w:rsid w:val="00E711E2"/>
    <w:rsid w:val="00E71624"/>
    <w:rsid w:val="00E71A1E"/>
    <w:rsid w:val="00E72206"/>
    <w:rsid w:val="00E723A4"/>
    <w:rsid w:val="00E726B6"/>
    <w:rsid w:val="00E729C9"/>
    <w:rsid w:val="00E73184"/>
    <w:rsid w:val="00E7340A"/>
    <w:rsid w:val="00E73A22"/>
    <w:rsid w:val="00E73B76"/>
    <w:rsid w:val="00E73CE8"/>
    <w:rsid w:val="00E7451E"/>
    <w:rsid w:val="00E7466C"/>
    <w:rsid w:val="00E746A4"/>
    <w:rsid w:val="00E74D11"/>
    <w:rsid w:val="00E74F47"/>
    <w:rsid w:val="00E74FCA"/>
    <w:rsid w:val="00E751D2"/>
    <w:rsid w:val="00E75442"/>
    <w:rsid w:val="00E757B3"/>
    <w:rsid w:val="00E758F2"/>
    <w:rsid w:val="00E7594E"/>
    <w:rsid w:val="00E75952"/>
    <w:rsid w:val="00E75ADD"/>
    <w:rsid w:val="00E75E91"/>
    <w:rsid w:val="00E76218"/>
    <w:rsid w:val="00E764D5"/>
    <w:rsid w:val="00E76514"/>
    <w:rsid w:val="00E7684F"/>
    <w:rsid w:val="00E76FDE"/>
    <w:rsid w:val="00E77B52"/>
    <w:rsid w:val="00E77DC7"/>
    <w:rsid w:val="00E77E53"/>
    <w:rsid w:val="00E77F0D"/>
    <w:rsid w:val="00E77F78"/>
    <w:rsid w:val="00E800B6"/>
    <w:rsid w:val="00E8013B"/>
    <w:rsid w:val="00E80309"/>
    <w:rsid w:val="00E8030A"/>
    <w:rsid w:val="00E8033D"/>
    <w:rsid w:val="00E803C6"/>
    <w:rsid w:val="00E80A13"/>
    <w:rsid w:val="00E80B0A"/>
    <w:rsid w:val="00E80C3F"/>
    <w:rsid w:val="00E8133D"/>
    <w:rsid w:val="00E81751"/>
    <w:rsid w:val="00E82511"/>
    <w:rsid w:val="00E82588"/>
    <w:rsid w:val="00E827D3"/>
    <w:rsid w:val="00E82A93"/>
    <w:rsid w:val="00E82B25"/>
    <w:rsid w:val="00E8335D"/>
    <w:rsid w:val="00E8337B"/>
    <w:rsid w:val="00E835F9"/>
    <w:rsid w:val="00E83714"/>
    <w:rsid w:val="00E83757"/>
    <w:rsid w:val="00E83AD9"/>
    <w:rsid w:val="00E83B33"/>
    <w:rsid w:val="00E84552"/>
    <w:rsid w:val="00E845F6"/>
    <w:rsid w:val="00E84CED"/>
    <w:rsid w:val="00E84E54"/>
    <w:rsid w:val="00E851DF"/>
    <w:rsid w:val="00E85B13"/>
    <w:rsid w:val="00E85E7A"/>
    <w:rsid w:val="00E86015"/>
    <w:rsid w:val="00E860B3"/>
    <w:rsid w:val="00E868FE"/>
    <w:rsid w:val="00E8706D"/>
    <w:rsid w:val="00E872CD"/>
    <w:rsid w:val="00E87B85"/>
    <w:rsid w:val="00E87E4B"/>
    <w:rsid w:val="00E90334"/>
    <w:rsid w:val="00E903F7"/>
    <w:rsid w:val="00E908FC"/>
    <w:rsid w:val="00E90B13"/>
    <w:rsid w:val="00E90BAA"/>
    <w:rsid w:val="00E90D8A"/>
    <w:rsid w:val="00E910FF"/>
    <w:rsid w:val="00E919E9"/>
    <w:rsid w:val="00E91AFF"/>
    <w:rsid w:val="00E91C5F"/>
    <w:rsid w:val="00E91FA2"/>
    <w:rsid w:val="00E9256E"/>
    <w:rsid w:val="00E92F9F"/>
    <w:rsid w:val="00E933E9"/>
    <w:rsid w:val="00E93429"/>
    <w:rsid w:val="00E93650"/>
    <w:rsid w:val="00E940F2"/>
    <w:rsid w:val="00E940F3"/>
    <w:rsid w:val="00E9439C"/>
    <w:rsid w:val="00E946A7"/>
    <w:rsid w:val="00E94819"/>
    <w:rsid w:val="00E94C19"/>
    <w:rsid w:val="00E95015"/>
    <w:rsid w:val="00E950F7"/>
    <w:rsid w:val="00E95419"/>
    <w:rsid w:val="00E95E73"/>
    <w:rsid w:val="00E960C7"/>
    <w:rsid w:val="00E964A1"/>
    <w:rsid w:val="00E9653D"/>
    <w:rsid w:val="00E9684B"/>
    <w:rsid w:val="00E96996"/>
    <w:rsid w:val="00E96A6D"/>
    <w:rsid w:val="00E96C1E"/>
    <w:rsid w:val="00E974C7"/>
    <w:rsid w:val="00E975BA"/>
    <w:rsid w:val="00E97A99"/>
    <w:rsid w:val="00EA055A"/>
    <w:rsid w:val="00EA082A"/>
    <w:rsid w:val="00EA092D"/>
    <w:rsid w:val="00EA0954"/>
    <w:rsid w:val="00EA0D58"/>
    <w:rsid w:val="00EA131D"/>
    <w:rsid w:val="00EA178E"/>
    <w:rsid w:val="00EA1C41"/>
    <w:rsid w:val="00EA20A6"/>
    <w:rsid w:val="00EA284F"/>
    <w:rsid w:val="00EA2C0E"/>
    <w:rsid w:val="00EA2C4A"/>
    <w:rsid w:val="00EA3185"/>
    <w:rsid w:val="00EA342F"/>
    <w:rsid w:val="00EA3B63"/>
    <w:rsid w:val="00EA4B47"/>
    <w:rsid w:val="00EA62ED"/>
    <w:rsid w:val="00EA6426"/>
    <w:rsid w:val="00EA64C4"/>
    <w:rsid w:val="00EA6804"/>
    <w:rsid w:val="00EA6A29"/>
    <w:rsid w:val="00EA70A6"/>
    <w:rsid w:val="00EA73AA"/>
    <w:rsid w:val="00EA7478"/>
    <w:rsid w:val="00EA7558"/>
    <w:rsid w:val="00EA7597"/>
    <w:rsid w:val="00EA77A7"/>
    <w:rsid w:val="00EA78E4"/>
    <w:rsid w:val="00EA79DE"/>
    <w:rsid w:val="00EA7EA3"/>
    <w:rsid w:val="00EA7EDF"/>
    <w:rsid w:val="00EB01BB"/>
    <w:rsid w:val="00EB01DA"/>
    <w:rsid w:val="00EB024A"/>
    <w:rsid w:val="00EB0970"/>
    <w:rsid w:val="00EB0A9D"/>
    <w:rsid w:val="00EB0B0B"/>
    <w:rsid w:val="00EB0EFA"/>
    <w:rsid w:val="00EB1206"/>
    <w:rsid w:val="00EB17A8"/>
    <w:rsid w:val="00EB1B91"/>
    <w:rsid w:val="00EB1DAA"/>
    <w:rsid w:val="00EB225C"/>
    <w:rsid w:val="00EB2451"/>
    <w:rsid w:val="00EB3270"/>
    <w:rsid w:val="00EB37F6"/>
    <w:rsid w:val="00EB43F1"/>
    <w:rsid w:val="00EB456C"/>
    <w:rsid w:val="00EB492A"/>
    <w:rsid w:val="00EB4CBC"/>
    <w:rsid w:val="00EB4E28"/>
    <w:rsid w:val="00EB51E2"/>
    <w:rsid w:val="00EB53AD"/>
    <w:rsid w:val="00EB55C3"/>
    <w:rsid w:val="00EB59A1"/>
    <w:rsid w:val="00EB5BAD"/>
    <w:rsid w:val="00EB62E6"/>
    <w:rsid w:val="00EB673A"/>
    <w:rsid w:val="00EB6A12"/>
    <w:rsid w:val="00EB6E77"/>
    <w:rsid w:val="00EB6FD0"/>
    <w:rsid w:val="00EB721F"/>
    <w:rsid w:val="00EB7513"/>
    <w:rsid w:val="00EB7F88"/>
    <w:rsid w:val="00EC0797"/>
    <w:rsid w:val="00EC0C55"/>
    <w:rsid w:val="00EC0EF0"/>
    <w:rsid w:val="00EC1348"/>
    <w:rsid w:val="00EC148B"/>
    <w:rsid w:val="00EC1D98"/>
    <w:rsid w:val="00EC26F5"/>
    <w:rsid w:val="00EC2702"/>
    <w:rsid w:val="00EC306D"/>
    <w:rsid w:val="00EC3155"/>
    <w:rsid w:val="00EC3290"/>
    <w:rsid w:val="00EC4301"/>
    <w:rsid w:val="00EC4470"/>
    <w:rsid w:val="00EC46F0"/>
    <w:rsid w:val="00EC4844"/>
    <w:rsid w:val="00EC4DC7"/>
    <w:rsid w:val="00EC50E4"/>
    <w:rsid w:val="00EC5DCE"/>
    <w:rsid w:val="00EC5EEE"/>
    <w:rsid w:val="00EC647F"/>
    <w:rsid w:val="00EC6627"/>
    <w:rsid w:val="00EC670C"/>
    <w:rsid w:val="00EC67BA"/>
    <w:rsid w:val="00EC699D"/>
    <w:rsid w:val="00EC6C8F"/>
    <w:rsid w:val="00EC7162"/>
    <w:rsid w:val="00EC7192"/>
    <w:rsid w:val="00EC77D5"/>
    <w:rsid w:val="00EC78E5"/>
    <w:rsid w:val="00EC7A2C"/>
    <w:rsid w:val="00EC7A66"/>
    <w:rsid w:val="00EC7F26"/>
    <w:rsid w:val="00EC7F79"/>
    <w:rsid w:val="00ED0427"/>
    <w:rsid w:val="00ED0525"/>
    <w:rsid w:val="00ED08AC"/>
    <w:rsid w:val="00ED09BA"/>
    <w:rsid w:val="00ED0AFF"/>
    <w:rsid w:val="00ED0CAC"/>
    <w:rsid w:val="00ED11C2"/>
    <w:rsid w:val="00ED1520"/>
    <w:rsid w:val="00ED16B8"/>
    <w:rsid w:val="00ED1910"/>
    <w:rsid w:val="00ED1DE0"/>
    <w:rsid w:val="00ED1ECC"/>
    <w:rsid w:val="00ED2108"/>
    <w:rsid w:val="00ED2128"/>
    <w:rsid w:val="00ED23A3"/>
    <w:rsid w:val="00ED25DC"/>
    <w:rsid w:val="00ED26AE"/>
    <w:rsid w:val="00ED2787"/>
    <w:rsid w:val="00ED29FF"/>
    <w:rsid w:val="00ED2B0D"/>
    <w:rsid w:val="00ED2D8E"/>
    <w:rsid w:val="00ED2F04"/>
    <w:rsid w:val="00ED3296"/>
    <w:rsid w:val="00ED3667"/>
    <w:rsid w:val="00ED459B"/>
    <w:rsid w:val="00ED4621"/>
    <w:rsid w:val="00ED49A0"/>
    <w:rsid w:val="00ED49BD"/>
    <w:rsid w:val="00ED4C75"/>
    <w:rsid w:val="00ED55C0"/>
    <w:rsid w:val="00ED57B4"/>
    <w:rsid w:val="00ED5892"/>
    <w:rsid w:val="00ED58AB"/>
    <w:rsid w:val="00ED5B73"/>
    <w:rsid w:val="00ED5D81"/>
    <w:rsid w:val="00ED5EC7"/>
    <w:rsid w:val="00ED61C2"/>
    <w:rsid w:val="00ED6731"/>
    <w:rsid w:val="00ED67A8"/>
    <w:rsid w:val="00ED6892"/>
    <w:rsid w:val="00ED689B"/>
    <w:rsid w:val="00ED6AE0"/>
    <w:rsid w:val="00ED706B"/>
    <w:rsid w:val="00ED762C"/>
    <w:rsid w:val="00ED76A6"/>
    <w:rsid w:val="00EE074E"/>
    <w:rsid w:val="00EE077E"/>
    <w:rsid w:val="00EE07FC"/>
    <w:rsid w:val="00EE1501"/>
    <w:rsid w:val="00EE1A19"/>
    <w:rsid w:val="00EE1D82"/>
    <w:rsid w:val="00EE2484"/>
    <w:rsid w:val="00EE2C68"/>
    <w:rsid w:val="00EE2CF5"/>
    <w:rsid w:val="00EE3530"/>
    <w:rsid w:val="00EE3608"/>
    <w:rsid w:val="00EE38E9"/>
    <w:rsid w:val="00EE3D0D"/>
    <w:rsid w:val="00EE3DBB"/>
    <w:rsid w:val="00EE3DFD"/>
    <w:rsid w:val="00EE4100"/>
    <w:rsid w:val="00EE413E"/>
    <w:rsid w:val="00EE44A4"/>
    <w:rsid w:val="00EE4DBF"/>
    <w:rsid w:val="00EE4DDF"/>
    <w:rsid w:val="00EE519C"/>
    <w:rsid w:val="00EE543C"/>
    <w:rsid w:val="00EE558C"/>
    <w:rsid w:val="00EE5C77"/>
    <w:rsid w:val="00EE5E6C"/>
    <w:rsid w:val="00EE5F22"/>
    <w:rsid w:val="00EE66D8"/>
    <w:rsid w:val="00EE7818"/>
    <w:rsid w:val="00EF00C9"/>
    <w:rsid w:val="00EF0132"/>
    <w:rsid w:val="00EF0306"/>
    <w:rsid w:val="00EF0461"/>
    <w:rsid w:val="00EF04D5"/>
    <w:rsid w:val="00EF0650"/>
    <w:rsid w:val="00EF075A"/>
    <w:rsid w:val="00EF0A0C"/>
    <w:rsid w:val="00EF1097"/>
    <w:rsid w:val="00EF11E1"/>
    <w:rsid w:val="00EF2387"/>
    <w:rsid w:val="00EF23F0"/>
    <w:rsid w:val="00EF2474"/>
    <w:rsid w:val="00EF2615"/>
    <w:rsid w:val="00EF2D2E"/>
    <w:rsid w:val="00EF3490"/>
    <w:rsid w:val="00EF34A3"/>
    <w:rsid w:val="00EF3549"/>
    <w:rsid w:val="00EF3F1E"/>
    <w:rsid w:val="00EF443E"/>
    <w:rsid w:val="00EF4C5C"/>
    <w:rsid w:val="00EF4FA1"/>
    <w:rsid w:val="00EF5088"/>
    <w:rsid w:val="00EF5458"/>
    <w:rsid w:val="00EF56E0"/>
    <w:rsid w:val="00EF5A78"/>
    <w:rsid w:val="00EF5DBA"/>
    <w:rsid w:val="00EF6358"/>
    <w:rsid w:val="00EF64BE"/>
    <w:rsid w:val="00EF6623"/>
    <w:rsid w:val="00EF66B8"/>
    <w:rsid w:val="00EF6B20"/>
    <w:rsid w:val="00EF6C7D"/>
    <w:rsid w:val="00EF6D8E"/>
    <w:rsid w:val="00EF7223"/>
    <w:rsid w:val="00EF7DF8"/>
    <w:rsid w:val="00F00491"/>
    <w:rsid w:val="00F011AB"/>
    <w:rsid w:val="00F01685"/>
    <w:rsid w:val="00F016F0"/>
    <w:rsid w:val="00F0177F"/>
    <w:rsid w:val="00F01830"/>
    <w:rsid w:val="00F01ABA"/>
    <w:rsid w:val="00F02284"/>
    <w:rsid w:val="00F022C7"/>
    <w:rsid w:val="00F02707"/>
    <w:rsid w:val="00F0285D"/>
    <w:rsid w:val="00F02A6C"/>
    <w:rsid w:val="00F02AF6"/>
    <w:rsid w:val="00F030D3"/>
    <w:rsid w:val="00F0316A"/>
    <w:rsid w:val="00F03F07"/>
    <w:rsid w:val="00F0465D"/>
    <w:rsid w:val="00F0485A"/>
    <w:rsid w:val="00F04D74"/>
    <w:rsid w:val="00F04E5F"/>
    <w:rsid w:val="00F04F6B"/>
    <w:rsid w:val="00F05058"/>
    <w:rsid w:val="00F05125"/>
    <w:rsid w:val="00F05183"/>
    <w:rsid w:val="00F05287"/>
    <w:rsid w:val="00F05706"/>
    <w:rsid w:val="00F058E3"/>
    <w:rsid w:val="00F05A4C"/>
    <w:rsid w:val="00F05A9E"/>
    <w:rsid w:val="00F06297"/>
    <w:rsid w:val="00F06683"/>
    <w:rsid w:val="00F0685A"/>
    <w:rsid w:val="00F0694D"/>
    <w:rsid w:val="00F06A40"/>
    <w:rsid w:val="00F06ED0"/>
    <w:rsid w:val="00F074A2"/>
    <w:rsid w:val="00F075CB"/>
    <w:rsid w:val="00F07AB9"/>
    <w:rsid w:val="00F1061E"/>
    <w:rsid w:val="00F10CC8"/>
    <w:rsid w:val="00F11317"/>
    <w:rsid w:val="00F1174A"/>
    <w:rsid w:val="00F12513"/>
    <w:rsid w:val="00F128C8"/>
    <w:rsid w:val="00F12F20"/>
    <w:rsid w:val="00F1315E"/>
    <w:rsid w:val="00F13170"/>
    <w:rsid w:val="00F133ED"/>
    <w:rsid w:val="00F135AC"/>
    <w:rsid w:val="00F139B8"/>
    <w:rsid w:val="00F13C29"/>
    <w:rsid w:val="00F13CBB"/>
    <w:rsid w:val="00F13EE9"/>
    <w:rsid w:val="00F14272"/>
    <w:rsid w:val="00F1465B"/>
    <w:rsid w:val="00F14836"/>
    <w:rsid w:val="00F14A6F"/>
    <w:rsid w:val="00F14BFB"/>
    <w:rsid w:val="00F15341"/>
    <w:rsid w:val="00F153D4"/>
    <w:rsid w:val="00F1544B"/>
    <w:rsid w:val="00F16026"/>
    <w:rsid w:val="00F1609C"/>
    <w:rsid w:val="00F164CE"/>
    <w:rsid w:val="00F16A1A"/>
    <w:rsid w:val="00F16AC5"/>
    <w:rsid w:val="00F1705F"/>
    <w:rsid w:val="00F170EF"/>
    <w:rsid w:val="00F175D8"/>
    <w:rsid w:val="00F175F3"/>
    <w:rsid w:val="00F176AD"/>
    <w:rsid w:val="00F1776A"/>
    <w:rsid w:val="00F17945"/>
    <w:rsid w:val="00F17B32"/>
    <w:rsid w:val="00F2010B"/>
    <w:rsid w:val="00F205BE"/>
    <w:rsid w:val="00F205E5"/>
    <w:rsid w:val="00F20697"/>
    <w:rsid w:val="00F206D5"/>
    <w:rsid w:val="00F20700"/>
    <w:rsid w:val="00F20702"/>
    <w:rsid w:val="00F20DB4"/>
    <w:rsid w:val="00F20DD8"/>
    <w:rsid w:val="00F2139A"/>
    <w:rsid w:val="00F21603"/>
    <w:rsid w:val="00F21827"/>
    <w:rsid w:val="00F21976"/>
    <w:rsid w:val="00F21E8E"/>
    <w:rsid w:val="00F223A0"/>
    <w:rsid w:val="00F227C0"/>
    <w:rsid w:val="00F22802"/>
    <w:rsid w:val="00F22CFE"/>
    <w:rsid w:val="00F23295"/>
    <w:rsid w:val="00F23396"/>
    <w:rsid w:val="00F234F8"/>
    <w:rsid w:val="00F23644"/>
    <w:rsid w:val="00F23D32"/>
    <w:rsid w:val="00F23D72"/>
    <w:rsid w:val="00F241CD"/>
    <w:rsid w:val="00F2465C"/>
    <w:rsid w:val="00F24660"/>
    <w:rsid w:val="00F2496D"/>
    <w:rsid w:val="00F24ADF"/>
    <w:rsid w:val="00F24EF9"/>
    <w:rsid w:val="00F25541"/>
    <w:rsid w:val="00F25A5C"/>
    <w:rsid w:val="00F26616"/>
    <w:rsid w:val="00F26822"/>
    <w:rsid w:val="00F26883"/>
    <w:rsid w:val="00F26E03"/>
    <w:rsid w:val="00F27378"/>
    <w:rsid w:val="00F27407"/>
    <w:rsid w:val="00F275DF"/>
    <w:rsid w:val="00F3258F"/>
    <w:rsid w:val="00F3318D"/>
    <w:rsid w:val="00F3341C"/>
    <w:rsid w:val="00F33E38"/>
    <w:rsid w:val="00F34183"/>
    <w:rsid w:val="00F34484"/>
    <w:rsid w:val="00F346BB"/>
    <w:rsid w:val="00F346C7"/>
    <w:rsid w:val="00F34909"/>
    <w:rsid w:val="00F3492E"/>
    <w:rsid w:val="00F34A6A"/>
    <w:rsid w:val="00F34AFE"/>
    <w:rsid w:val="00F35C23"/>
    <w:rsid w:val="00F35C28"/>
    <w:rsid w:val="00F35E0E"/>
    <w:rsid w:val="00F366D2"/>
    <w:rsid w:val="00F369DE"/>
    <w:rsid w:val="00F36E91"/>
    <w:rsid w:val="00F3709E"/>
    <w:rsid w:val="00F37331"/>
    <w:rsid w:val="00F373CC"/>
    <w:rsid w:val="00F37E00"/>
    <w:rsid w:val="00F40111"/>
    <w:rsid w:val="00F40679"/>
    <w:rsid w:val="00F406EB"/>
    <w:rsid w:val="00F40729"/>
    <w:rsid w:val="00F40CC8"/>
    <w:rsid w:val="00F40CD0"/>
    <w:rsid w:val="00F40DF9"/>
    <w:rsid w:val="00F41643"/>
    <w:rsid w:val="00F41817"/>
    <w:rsid w:val="00F41FAA"/>
    <w:rsid w:val="00F41FEC"/>
    <w:rsid w:val="00F42FFB"/>
    <w:rsid w:val="00F435CE"/>
    <w:rsid w:val="00F43948"/>
    <w:rsid w:val="00F43B52"/>
    <w:rsid w:val="00F4405D"/>
    <w:rsid w:val="00F444B0"/>
    <w:rsid w:val="00F44799"/>
    <w:rsid w:val="00F45366"/>
    <w:rsid w:val="00F4591A"/>
    <w:rsid w:val="00F45948"/>
    <w:rsid w:val="00F4609F"/>
    <w:rsid w:val="00F46538"/>
    <w:rsid w:val="00F468D4"/>
    <w:rsid w:val="00F46EFF"/>
    <w:rsid w:val="00F470DD"/>
    <w:rsid w:val="00F47241"/>
    <w:rsid w:val="00F47DAF"/>
    <w:rsid w:val="00F47DBE"/>
    <w:rsid w:val="00F50127"/>
    <w:rsid w:val="00F503BF"/>
    <w:rsid w:val="00F50651"/>
    <w:rsid w:val="00F507ED"/>
    <w:rsid w:val="00F50A9E"/>
    <w:rsid w:val="00F50AD0"/>
    <w:rsid w:val="00F5116A"/>
    <w:rsid w:val="00F513C3"/>
    <w:rsid w:val="00F51A7D"/>
    <w:rsid w:val="00F522DE"/>
    <w:rsid w:val="00F526EE"/>
    <w:rsid w:val="00F52CC3"/>
    <w:rsid w:val="00F531A0"/>
    <w:rsid w:val="00F535A2"/>
    <w:rsid w:val="00F53816"/>
    <w:rsid w:val="00F53DD0"/>
    <w:rsid w:val="00F53F43"/>
    <w:rsid w:val="00F53F5E"/>
    <w:rsid w:val="00F543B0"/>
    <w:rsid w:val="00F54554"/>
    <w:rsid w:val="00F54799"/>
    <w:rsid w:val="00F54868"/>
    <w:rsid w:val="00F54BFC"/>
    <w:rsid w:val="00F54DAB"/>
    <w:rsid w:val="00F54FCB"/>
    <w:rsid w:val="00F550CA"/>
    <w:rsid w:val="00F55586"/>
    <w:rsid w:val="00F5625B"/>
    <w:rsid w:val="00F563F1"/>
    <w:rsid w:val="00F56997"/>
    <w:rsid w:val="00F56CF9"/>
    <w:rsid w:val="00F5709B"/>
    <w:rsid w:val="00F5730F"/>
    <w:rsid w:val="00F57C0E"/>
    <w:rsid w:val="00F57C2F"/>
    <w:rsid w:val="00F57F10"/>
    <w:rsid w:val="00F604AA"/>
    <w:rsid w:val="00F6050B"/>
    <w:rsid w:val="00F60531"/>
    <w:rsid w:val="00F608F7"/>
    <w:rsid w:val="00F60BB8"/>
    <w:rsid w:val="00F60F02"/>
    <w:rsid w:val="00F61196"/>
    <w:rsid w:val="00F615DD"/>
    <w:rsid w:val="00F61620"/>
    <w:rsid w:val="00F61639"/>
    <w:rsid w:val="00F6199D"/>
    <w:rsid w:val="00F61A27"/>
    <w:rsid w:val="00F62108"/>
    <w:rsid w:val="00F6222C"/>
    <w:rsid w:val="00F62253"/>
    <w:rsid w:val="00F62522"/>
    <w:rsid w:val="00F6269A"/>
    <w:rsid w:val="00F626C8"/>
    <w:rsid w:val="00F6296D"/>
    <w:rsid w:val="00F6330A"/>
    <w:rsid w:val="00F63377"/>
    <w:rsid w:val="00F64009"/>
    <w:rsid w:val="00F64422"/>
    <w:rsid w:val="00F64652"/>
    <w:rsid w:val="00F646BA"/>
    <w:rsid w:val="00F64968"/>
    <w:rsid w:val="00F64AC8"/>
    <w:rsid w:val="00F64B16"/>
    <w:rsid w:val="00F650D2"/>
    <w:rsid w:val="00F651A5"/>
    <w:rsid w:val="00F6548C"/>
    <w:rsid w:val="00F65A62"/>
    <w:rsid w:val="00F65D74"/>
    <w:rsid w:val="00F65E7D"/>
    <w:rsid w:val="00F662F5"/>
    <w:rsid w:val="00F662FC"/>
    <w:rsid w:val="00F668F8"/>
    <w:rsid w:val="00F66B11"/>
    <w:rsid w:val="00F66C37"/>
    <w:rsid w:val="00F66F29"/>
    <w:rsid w:val="00F670FC"/>
    <w:rsid w:val="00F6718B"/>
    <w:rsid w:val="00F675EA"/>
    <w:rsid w:val="00F67860"/>
    <w:rsid w:val="00F67FF9"/>
    <w:rsid w:val="00F700DA"/>
    <w:rsid w:val="00F70582"/>
    <w:rsid w:val="00F712F8"/>
    <w:rsid w:val="00F71CEA"/>
    <w:rsid w:val="00F71F8E"/>
    <w:rsid w:val="00F71FC0"/>
    <w:rsid w:val="00F724B4"/>
    <w:rsid w:val="00F72607"/>
    <w:rsid w:val="00F728A6"/>
    <w:rsid w:val="00F72966"/>
    <w:rsid w:val="00F72A3A"/>
    <w:rsid w:val="00F72F21"/>
    <w:rsid w:val="00F738B0"/>
    <w:rsid w:val="00F73A3A"/>
    <w:rsid w:val="00F74141"/>
    <w:rsid w:val="00F742E2"/>
    <w:rsid w:val="00F743B4"/>
    <w:rsid w:val="00F744F2"/>
    <w:rsid w:val="00F748CA"/>
    <w:rsid w:val="00F74911"/>
    <w:rsid w:val="00F74A4D"/>
    <w:rsid w:val="00F74AA7"/>
    <w:rsid w:val="00F74B72"/>
    <w:rsid w:val="00F74EA8"/>
    <w:rsid w:val="00F74FFD"/>
    <w:rsid w:val="00F7509A"/>
    <w:rsid w:val="00F7516A"/>
    <w:rsid w:val="00F75538"/>
    <w:rsid w:val="00F7554B"/>
    <w:rsid w:val="00F75948"/>
    <w:rsid w:val="00F75BC7"/>
    <w:rsid w:val="00F7600E"/>
    <w:rsid w:val="00F76A36"/>
    <w:rsid w:val="00F76B27"/>
    <w:rsid w:val="00F76B86"/>
    <w:rsid w:val="00F76BBF"/>
    <w:rsid w:val="00F76E7C"/>
    <w:rsid w:val="00F76F86"/>
    <w:rsid w:val="00F76FDE"/>
    <w:rsid w:val="00F77458"/>
    <w:rsid w:val="00F7752E"/>
    <w:rsid w:val="00F77CD1"/>
    <w:rsid w:val="00F801FD"/>
    <w:rsid w:val="00F80279"/>
    <w:rsid w:val="00F802EA"/>
    <w:rsid w:val="00F8055B"/>
    <w:rsid w:val="00F807A1"/>
    <w:rsid w:val="00F80A32"/>
    <w:rsid w:val="00F8112F"/>
    <w:rsid w:val="00F8160F"/>
    <w:rsid w:val="00F81931"/>
    <w:rsid w:val="00F81DC3"/>
    <w:rsid w:val="00F81FF4"/>
    <w:rsid w:val="00F8213D"/>
    <w:rsid w:val="00F822B6"/>
    <w:rsid w:val="00F82312"/>
    <w:rsid w:val="00F823B8"/>
    <w:rsid w:val="00F82543"/>
    <w:rsid w:val="00F827DE"/>
    <w:rsid w:val="00F829FE"/>
    <w:rsid w:val="00F82F82"/>
    <w:rsid w:val="00F83068"/>
    <w:rsid w:val="00F83B4D"/>
    <w:rsid w:val="00F83CA9"/>
    <w:rsid w:val="00F84797"/>
    <w:rsid w:val="00F84B9B"/>
    <w:rsid w:val="00F85059"/>
    <w:rsid w:val="00F850AD"/>
    <w:rsid w:val="00F85A27"/>
    <w:rsid w:val="00F85BA8"/>
    <w:rsid w:val="00F86BC9"/>
    <w:rsid w:val="00F86D53"/>
    <w:rsid w:val="00F8706F"/>
    <w:rsid w:val="00F871AE"/>
    <w:rsid w:val="00F87806"/>
    <w:rsid w:val="00F87899"/>
    <w:rsid w:val="00F87D1C"/>
    <w:rsid w:val="00F87D87"/>
    <w:rsid w:val="00F87E5D"/>
    <w:rsid w:val="00F87F09"/>
    <w:rsid w:val="00F90BCD"/>
    <w:rsid w:val="00F90E9E"/>
    <w:rsid w:val="00F91142"/>
    <w:rsid w:val="00F916E5"/>
    <w:rsid w:val="00F91CB8"/>
    <w:rsid w:val="00F91D36"/>
    <w:rsid w:val="00F91E4E"/>
    <w:rsid w:val="00F91EC1"/>
    <w:rsid w:val="00F91EF0"/>
    <w:rsid w:val="00F92283"/>
    <w:rsid w:val="00F922B0"/>
    <w:rsid w:val="00F9243C"/>
    <w:rsid w:val="00F92A34"/>
    <w:rsid w:val="00F92D00"/>
    <w:rsid w:val="00F93176"/>
    <w:rsid w:val="00F938CA"/>
    <w:rsid w:val="00F93A80"/>
    <w:rsid w:val="00F93CED"/>
    <w:rsid w:val="00F93D4B"/>
    <w:rsid w:val="00F93FF6"/>
    <w:rsid w:val="00F94219"/>
    <w:rsid w:val="00F9489C"/>
    <w:rsid w:val="00F94E8B"/>
    <w:rsid w:val="00F953F7"/>
    <w:rsid w:val="00F95425"/>
    <w:rsid w:val="00F95478"/>
    <w:rsid w:val="00F954BA"/>
    <w:rsid w:val="00F9553E"/>
    <w:rsid w:val="00F95834"/>
    <w:rsid w:val="00F959BE"/>
    <w:rsid w:val="00F95D08"/>
    <w:rsid w:val="00F95D0A"/>
    <w:rsid w:val="00F95E3B"/>
    <w:rsid w:val="00F960AE"/>
    <w:rsid w:val="00F9629B"/>
    <w:rsid w:val="00F9632D"/>
    <w:rsid w:val="00F965E0"/>
    <w:rsid w:val="00F96BCD"/>
    <w:rsid w:val="00F96D4C"/>
    <w:rsid w:val="00F9731A"/>
    <w:rsid w:val="00F97369"/>
    <w:rsid w:val="00F97839"/>
    <w:rsid w:val="00F97B50"/>
    <w:rsid w:val="00FA00BF"/>
    <w:rsid w:val="00FA00E1"/>
    <w:rsid w:val="00FA0499"/>
    <w:rsid w:val="00FA0860"/>
    <w:rsid w:val="00FA0875"/>
    <w:rsid w:val="00FA0DDD"/>
    <w:rsid w:val="00FA10FC"/>
    <w:rsid w:val="00FA14FF"/>
    <w:rsid w:val="00FA1C94"/>
    <w:rsid w:val="00FA21DC"/>
    <w:rsid w:val="00FA240E"/>
    <w:rsid w:val="00FA25FF"/>
    <w:rsid w:val="00FA27CD"/>
    <w:rsid w:val="00FA2B96"/>
    <w:rsid w:val="00FA31B3"/>
    <w:rsid w:val="00FA3D60"/>
    <w:rsid w:val="00FA4028"/>
    <w:rsid w:val="00FA4556"/>
    <w:rsid w:val="00FA479C"/>
    <w:rsid w:val="00FA488A"/>
    <w:rsid w:val="00FA4CEB"/>
    <w:rsid w:val="00FA5B4A"/>
    <w:rsid w:val="00FA5EBE"/>
    <w:rsid w:val="00FA6153"/>
    <w:rsid w:val="00FA61E6"/>
    <w:rsid w:val="00FA6595"/>
    <w:rsid w:val="00FA65B3"/>
    <w:rsid w:val="00FA68B5"/>
    <w:rsid w:val="00FA6A9B"/>
    <w:rsid w:val="00FA6B35"/>
    <w:rsid w:val="00FA6EC0"/>
    <w:rsid w:val="00FA70AE"/>
    <w:rsid w:val="00FA714A"/>
    <w:rsid w:val="00FA71F4"/>
    <w:rsid w:val="00FA740E"/>
    <w:rsid w:val="00FA7559"/>
    <w:rsid w:val="00FA756B"/>
    <w:rsid w:val="00FA79B9"/>
    <w:rsid w:val="00FA79F9"/>
    <w:rsid w:val="00FB05D5"/>
    <w:rsid w:val="00FB0B7A"/>
    <w:rsid w:val="00FB0B86"/>
    <w:rsid w:val="00FB1180"/>
    <w:rsid w:val="00FB16AF"/>
    <w:rsid w:val="00FB180B"/>
    <w:rsid w:val="00FB20CC"/>
    <w:rsid w:val="00FB22FE"/>
    <w:rsid w:val="00FB26CA"/>
    <w:rsid w:val="00FB2969"/>
    <w:rsid w:val="00FB2C07"/>
    <w:rsid w:val="00FB2EA3"/>
    <w:rsid w:val="00FB4D78"/>
    <w:rsid w:val="00FB4E4F"/>
    <w:rsid w:val="00FB5016"/>
    <w:rsid w:val="00FB59EE"/>
    <w:rsid w:val="00FB5AF5"/>
    <w:rsid w:val="00FB60BE"/>
    <w:rsid w:val="00FB63A1"/>
    <w:rsid w:val="00FB66B4"/>
    <w:rsid w:val="00FB672C"/>
    <w:rsid w:val="00FB69AA"/>
    <w:rsid w:val="00FB6B09"/>
    <w:rsid w:val="00FB6C3E"/>
    <w:rsid w:val="00FB6C6A"/>
    <w:rsid w:val="00FB6D09"/>
    <w:rsid w:val="00FB6FB1"/>
    <w:rsid w:val="00FB77C7"/>
    <w:rsid w:val="00FB7852"/>
    <w:rsid w:val="00FB7DD7"/>
    <w:rsid w:val="00FB7DF7"/>
    <w:rsid w:val="00FB7E0C"/>
    <w:rsid w:val="00FB7E37"/>
    <w:rsid w:val="00FC09B9"/>
    <w:rsid w:val="00FC0A49"/>
    <w:rsid w:val="00FC0C27"/>
    <w:rsid w:val="00FC0D2C"/>
    <w:rsid w:val="00FC1027"/>
    <w:rsid w:val="00FC1076"/>
    <w:rsid w:val="00FC1A93"/>
    <w:rsid w:val="00FC26FE"/>
    <w:rsid w:val="00FC2C5A"/>
    <w:rsid w:val="00FC2CF9"/>
    <w:rsid w:val="00FC2EC8"/>
    <w:rsid w:val="00FC3411"/>
    <w:rsid w:val="00FC3982"/>
    <w:rsid w:val="00FC39A8"/>
    <w:rsid w:val="00FC45E8"/>
    <w:rsid w:val="00FC49DE"/>
    <w:rsid w:val="00FC4D85"/>
    <w:rsid w:val="00FC5147"/>
    <w:rsid w:val="00FC5C6C"/>
    <w:rsid w:val="00FC6146"/>
    <w:rsid w:val="00FC6713"/>
    <w:rsid w:val="00FC687B"/>
    <w:rsid w:val="00FC69FA"/>
    <w:rsid w:val="00FC6FEF"/>
    <w:rsid w:val="00FC7012"/>
    <w:rsid w:val="00FC7419"/>
    <w:rsid w:val="00FC7846"/>
    <w:rsid w:val="00FC7AAC"/>
    <w:rsid w:val="00FD01EC"/>
    <w:rsid w:val="00FD03B0"/>
    <w:rsid w:val="00FD0610"/>
    <w:rsid w:val="00FD066B"/>
    <w:rsid w:val="00FD0822"/>
    <w:rsid w:val="00FD09E8"/>
    <w:rsid w:val="00FD0A4F"/>
    <w:rsid w:val="00FD0FA4"/>
    <w:rsid w:val="00FD0FB3"/>
    <w:rsid w:val="00FD10AA"/>
    <w:rsid w:val="00FD17DE"/>
    <w:rsid w:val="00FD21DA"/>
    <w:rsid w:val="00FD229E"/>
    <w:rsid w:val="00FD252A"/>
    <w:rsid w:val="00FD2547"/>
    <w:rsid w:val="00FD2B03"/>
    <w:rsid w:val="00FD2DE8"/>
    <w:rsid w:val="00FD371F"/>
    <w:rsid w:val="00FD381C"/>
    <w:rsid w:val="00FD4441"/>
    <w:rsid w:val="00FD4F09"/>
    <w:rsid w:val="00FD5084"/>
    <w:rsid w:val="00FD516F"/>
    <w:rsid w:val="00FD5792"/>
    <w:rsid w:val="00FD58A6"/>
    <w:rsid w:val="00FD5FA2"/>
    <w:rsid w:val="00FD653A"/>
    <w:rsid w:val="00FD661B"/>
    <w:rsid w:val="00FD67FA"/>
    <w:rsid w:val="00FD69C8"/>
    <w:rsid w:val="00FD6DF5"/>
    <w:rsid w:val="00FD732C"/>
    <w:rsid w:val="00FD798C"/>
    <w:rsid w:val="00FD7D26"/>
    <w:rsid w:val="00FD7EDA"/>
    <w:rsid w:val="00FE00AB"/>
    <w:rsid w:val="00FE05A7"/>
    <w:rsid w:val="00FE09A0"/>
    <w:rsid w:val="00FE19D5"/>
    <w:rsid w:val="00FE26B5"/>
    <w:rsid w:val="00FE26FE"/>
    <w:rsid w:val="00FE2853"/>
    <w:rsid w:val="00FE2D92"/>
    <w:rsid w:val="00FE2E2F"/>
    <w:rsid w:val="00FE2E69"/>
    <w:rsid w:val="00FE30D2"/>
    <w:rsid w:val="00FE36E5"/>
    <w:rsid w:val="00FE3AE0"/>
    <w:rsid w:val="00FE3C45"/>
    <w:rsid w:val="00FE4147"/>
    <w:rsid w:val="00FE4286"/>
    <w:rsid w:val="00FE4C97"/>
    <w:rsid w:val="00FE5126"/>
    <w:rsid w:val="00FE563E"/>
    <w:rsid w:val="00FE5BFE"/>
    <w:rsid w:val="00FE5FE0"/>
    <w:rsid w:val="00FE6279"/>
    <w:rsid w:val="00FE673F"/>
    <w:rsid w:val="00FE6A84"/>
    <w:rsid w:val="00FE6BF3"/>
    <w:rsid w:val="00FE706F"/>
    <w:rsid w:val="00FE7093"/>
    <w:rsid w:val="00FE722B"/>
    <w:rsid w:val="00FE735D"/>
    <w:rsid w:val="00FE796E"/>
    <w:rsid w:val="00FE7B29"/>
    <w:rsid w:val="00FE7F78"/>
    <w:rsid w:val="00FF05A4"/>
    <w:rsid w:val="00FF0709"/>
    <w:rsid w:val="00FF08C1"/>
    <w:rsid w:val="00FF0A74"/>
    <w:rsid w:val="00FF0F09"/>
    <w:rsid w:val="00FF112C"/>
    <w:rsid w:val="00FF1508"/>
    <w:rsid w:val="00FF16F8"/>
    <w:rsid w:val="00FF1738"/>
    <w:rsid w:val="00FF1A15"/>
    <w:rsid w:val="00FF1BFF"/>
    <w:rsid w:val="00FF1C52"/>
    <w:rsid w:val="00FF1E53"/>
    <w:rsid w:val="00FF216B"/>
    <w:rsid w:val="00FF2817"/>
    <w:rsid w:val="00FF2EF3"/>
    <w:rsid w:val="00FF32D7"/>
    <w:rsid w:val="00FF3A3F"/>
    <w:rsid w:val="00FF3C16"/>
    <w:rsid w:val="00FF3C31"/>
    <w:rsid w:val="00FF41AE"/>
    <w:rsid w:val="00FF41E2"/>
    <w:rsid w:val="00FF487F"/>
    <w:rsid w:val="00FF497C"/>
    <w:rsid w:val="00FF4F1C"/>
    <w:rsid w:val="00FF508C"/>
    <w:rsid w:val="00FF515E"/>
    <w:rsid w:val="00FF5382"/>
    <w:rsid w:val="00FF54D9"/>
    <w:rsid w:val="00FF5610"/>
    <w:rsid w:val="00FF620B"/>
    <w:rsid w:val="00FF686F"/>
    <w:rsid w:val="00FF6C59"/>
    <w:rsid w:val="00FF75D5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right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D881B15"/>
  <w15:docId w15:val="{72A2E6EC-1557-4D8D-94B6-3A4C18A4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="Times New Roman" w:hAnsi="Arial Nova Light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1C6"/>
    <w:pPr>
      <w:spacing w:line="360" w:lineRule="auto"/>
      <w:jc w:val="both"/>
    </w:pPr>
  </w:style>
  <w:style w:type="paragraph" w:styleId="Heading1">
    <w:name w:val="heading 1"/>
    <w:basedOn w:val="ListContinue"/>
    <w:next w:val="Normal"/>
    <w:link w:val="Heading1Char"/>
    <w:autoRedefine/>
    <w:qFormat/>
    <w:rsid w:val="00730434"/>
    <w:pPr>
      <w:keepNext/>
      <w:spacing w:before="240" w:after="60" w:line="480" w:lineRule="auto"/>
      <w:ind w:left="502" w:hanging="360"/>
      <w:outlineLvl w:val="0"/>
    </w:pPr>
    <w:rPr>
      <w:rFonts w:ascii="Times New Roman" w:hAnsi="Times New Roman"/>
      <w:b/>
      <w:bCs/>
      <w:kern w:val="32"/>
      <w:sz w:val="22"/>
      <w:szCs w:val="22"/>
    </w:rPr>
  </w:style>
  <w:style w:type="paragraph" w:styleId="Heading2">
    <w:name w:val="heading 2"/>
    <w:basedOn w:val="ListContinue2"/>
    <w:next w:val="Normal"/>
    <w:link w:val="Heading2Char"/>
    <w:autoRedefine/>
    <w:qFormat/>
    <w:rsid w:val="00452019"/>
    <w:pPr>
      <w:keepNext/>
      <w:numPr>
        <w:numId w:val="25"/>
      </w:numPr>
      <w:spacing w:after="0" w:line="276" w:lineRule="auto"/>
      <w:outlineLvl w:val="1"/>
    </w:pPr>
    <w:rPr>
      <w:rFonts w:ascii="Times New Roman" w:hAnsi="Times New Roman"/>
      <w:bCs/>
      <w:iCs/>
    </w:rPr>
  </w:style>
  <w:style w:type="paragraph" w:styleId="Heading3">
    <w:name w:val="heading 3"/>
    <w:basedOn w:val="ListContinue3"/>
    <w:next w:val="Normal"/>
    <w:autoRedefine/>
    <w:qFormat/>
    <w:rsid w:val="004A5FFD"/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sz w:val="24"/>
      <w:szCs w:val="26"/>
      <w:u w:val="words"/>
    </w:rPr>
  </w:style>
  <w:style w:type="paragraph" w:styleId="Heading4">
    <w:name w:val="heading 4"/>
    <w:basedOn w:val="Normal"/>
    <w:next w:val="Normal"/>
    <w:qFormat/>
    <w:rsid w:val="00237AA4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37AA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37AA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237AA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37AA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37AA4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17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B6517E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B6517E"/>
  </w:style>
  <w:style w:type="paragraph" w:styleId="Index1">
    <w:name w:val="index 1"/>
    <w:basedOn w:val="Normal"/>
    <w:next w:val="Normal"/>
    <w:autoRedefine/>
    <w:semiHidden/>
    <w:rsid w:val="00DE4142"/>
    <w:pPr>
      <w:ind w:left="220" w:hanging="220"/>
    </w:pPr>
  </w:style>
  <w:style w:type="numbering" w:styleId="111111">
    <w:name w:val="Outline List 2"/>
    <w:basedOn w:val="NoList"/>
    <w:rsid w:val="00B720BB"/>
    <w:pPr>
      <w:numPr>
        <w:numId w:val="1"/>
      </w:numPr>
    </w:pPr>
  </w:style>
  <w:style w:type="paragraph" w:styleId="ListContinue">
    <w:name w:val="List Continue"/>
    <w:basedOn w:val="Normal"/>
    <w:rsid w:val="00101BC6"/>
    <w:pPr>
      <w:spacing w:after="120"/>
      <w:ind w:left="283"/>
    </w:pPr>
  </w:style>
  <w:style w:type="paragraph" w:styleId="ListNumber">
    <w:name w:val="List Number"/>
    <w:basedOn w:val="Normal"/>
    <w:rsid w:val="00213C15"/>
  </w:style>
  <w:style w:type="paragraph" w:styleId="List">
    <w:name w:val="List"/>
    <w:basedOn w:val="Normal"/>
    <w:rsid w:val="00213C15"/>
    <w:pPr>
      <w:ind w:left="283" w:hanging="283"/>
    </w:pPr>
  </w:style>
  <w:style w:type="paragraph" w:styleId="BodyText">
    <w:name w:val="Body Text"/>
    <w:basedOn w:val="Normal"/>
    <w:rsid w:val="00213C15"/>
    <w:pPr>
      <w:spacing w:after="120"/>
    </w:pPr>
  </w:style>
  <w:style w:type="paragraph" w:styleId="TOC1">
    <w:name w:val="toc 1"/>
    <w:basedOn w:val="Normal"/>
    <w:next w:val="Normal"/>
    <w:autoRedefine/>
    <w:uiPriority w:val="39"/>
    <w:rsid w:val="00E723A4"/>
    <w:pPr>
      <w:tabs>
        <w:tab w:val="right" w:leader="dot" w:pos="8636"/>
      </w:tabs>
      <w:spacing w:line="240" w:lineRule="auto"/>
      <w:ind w:left="567" w:right="616" w:hanging="567"/>
    </w:pPr>
    <w:rPr>
      <w:rFonts w:ascii="Times New Roman" w:hAnsi="Times New Roman"/>
      <w:noProof/>
    </w:rPr>
  </w:style>
  <w:style w:type="paragraph" w:styleId="ListContinue2">
    <w:name w:val="List Continue 2"/>
    <w:basedOn w:val="Normal"/>
    <w:rsid w:val="00E76514"/>
    <w:pPr>
      <w:spacing w:after="120"/>
      <w:ind w:left="566"/>
    </w:pPr>
  </w:style>
  <w:style w:type="paragraph" w:styleId="ListContinue3">
    <w:name w:val="List Continue 3"/>
    <w:basedOn w:val="Normal"/>
    <w:rsid w:val="00835E7C"/>
    <w:pPr>
      <w:spacing w:after="120"/>
      <w:ind w:left="849"/>
    </w:pPr>
  </w:style>
  <w:style w:type="paragraph" w:styleId="TOC2">
    <w:name w:val="toc 2"/>
    <w:basedOn w:val="Normal"/>
    <w:next w:val="Normal"/>
    <w:autoRedefine/>
    <w:uiPriority w:val="39"/>
    <w:rsid w:val="002B514F"/>
    <w:pPr>
      <w:tabs>
        <w:tab w:val="left" w:pos="709"/>
        <w:tab w:val="left" w:pos="1418"/>
        <w:tab w:val="right" w:leader="dot" w:pos="8647"/>
      </w:tabs>
      <w:spacing w:line="276" w:lineRule="auto"/>
      <w:ind w:left="709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semiHidden/>
    <w:rsid w:val="00E64E2E"/>
    <w:pPr>
      <w:ind w:left="440"/>
    </w:pPr>
  </w:style>
  <w:style w:type="character" w:styleId="Hyperlink">
    <w:name w:val="Hyperlink"/>
    <w:uiPriority w:val="99"/>
    <w:rsid w:val="00E64E2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25794"/>
    <w:rPr>
      <w:sz w:val="18"/>
    </w:rPr>
  </w:style>
  <w:style w:type="character" w:styleId="FootnoteReference">
    <w:name w:val="footnote reference"/>
    <w:semiHidden/>
    <w:rsid w:val="003A6029"/>
    <w:rPr>
      <w:vertAlign w:val="superscript"/>
    </w:rPr>
  </w:style>
  <w:style w:type="numbering" w:customStyle="1" w:styleId="StyleBulleted">
    <w:name w:val="Style Bulleted"/>
    <w:basedOn w:val="NoList"/>
    <w:rsid w:val="002916B4"/>
    <w:pPr>
      <w:numPr>
        <w:numId w:val="3"/>
      </w:numPr>
    </w:pPr>
  </w:style>
  <w:style w:type="character" w:customStyle="1" w:styleId="Heading2Char">
    <w:name w:val="Heading 2 Char"/>
    <w:link w:val="Heading2"/>
    <w:rsid w:val="00452019"/>
    <w:rPr>
      <w:rFonts w:ascii="Times New Roman" w:hAnsi="Times New Roman"/>
      <w:bCs/>
      <w:iCs/>
    </w:rPr>
  </w:style>
  <w:style w:type="character" w:styleId="CommentReference">
    <w:name w:val="annotation reference"/>
    <w:rsid w:val="004F23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3A8"/>
  </w:style>
  <w:style w:type="character" w:customStyle="1" w:styleId="CommentTextChar">
    <w:name w:val="Comment Text Char"/>
    <w:link w:val="CommentText"/>
    <w:rsid w:val="004F23A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23A8"/>
    <w:rPr>
      <w:b/>
      <w:bCs/>
    </w:rPr>
  </w:style>
  <w:style w:type="character" w:customStyle="1" w:styleId="CommentSubjectChar">
    <w:name w:val="Comment Subject Char"/>
    <w:link w:val="CommentSubject"/>
    <w:rsid w:val="004F23A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4F23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23A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D5B1F"/>
    <w:pPr>
      <w:ind w:left="708"/>
    </w:pPr>
  </w:style>
  <w:style w:type="paragraph" w:styleId="Caption">
    <w:name w:val="caption"/>
    <w:basedOn w:val="Normal"/>
    <w:next w:val="Normal"/>
    <w:unhideWhenUsed/>
    <w:qFormat/>
    <w:rsid w:val="00CE272A"/>
    <w:rPr>
      <w:b/>
      <w:bCs/>
    </w:rPr>
  </w:style>
  <w:style w:type="character" w:customStyle="1" w:styleId="Heading1Char">
    <w:name w:val="Heading 1 Char"/>
    <w:link w:val="Heading1"/>
    <w:rsid w:val="00730434"/>
    <w:rPr>
      <w:rFonts w:ascii="Times New Roman" w:hAnsi="Times New Roman"/>
      <w:b/>
      <w:bCs/>
      <w:kern w:val="32"/>
      <w:sz w:val="22"/>
      <w:szCs w:val="22"/>
    </w:rPr>
  </w:style>
  <w:style w:type="character" w:customStyle="1" w:styleId="FooterChar">
    <w:name w:val="Footer Char"/>
    <w:link w:val="Footer"/>
    <w:locked/>
    <w:rsid w:val="008C0C5E"/>
    <w:rPr>
      <w:rFonts w:ascii="Arial" w:hAnsi="Arial"/>
      <w:sz w:val="22"/>
      <w:szCs w:val="22"/>
      <w:lang w:eastAsia="en-US"/>
    </w:rPr>
  </w:style>
  <w:style w:type="character" w:styleId="FollowedHyperlink">
    <w:name w:val="FollowedHyperlink"/>
    <w:rsid w:val="00F543B0"/>
    <w:rPr>
      <w:color w:val="954F72"/>
      <w:u w:val="single"/>
    </w:rPr>
  </w:style>
  <w:style w:type="paragraph" w:styleId="Revision">
    <w:name w:val="Revision"/>
    <w:hidden/>
    <w:uiPriority w:val="99"/>
    <w:semiHidden/>
    <w:rsid w:val="002104C1"/>
    <w:rPr>
      <w:rFonts w:ascii="Arial" w:hAnsi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539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B1494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styleId="Strong">
    <w:name w:val="Strong"/>
    <w:basedOn w:val="DefaultParagraphFont"/>
    <w:qFormat/>
    <w:rsid w:val="009864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64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0A41CB"/>
    <w:rPr>
      <w:sz w:val="18"/>
    </w:rPr>
  </w:style>
  <w:style w:type="paragraph" w:styleId="BodyTextIndent">
    <w:name w:val="Body Text Indent"/>
    <w:basedOn w:val="Normal"/>
    <w:link w:val="BodyTextIndentChar"/>
    <w:semiHidden/>
    <w:unhideWhenUsed/>
    <w:rsid w:val="00513C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13C5A"/>
  </w:style>
  <w:style w:type="paragraph" w:styleId="BodyTextFirstIndent2">
    <w:name w:val="Body Text First Indent 2"/>
    <w:basedOn w:val="BodyTextIndent"/>
    <w:link w:val="BodyTextFirstIndent2Char"/>
    <w:unhideWhenUsed/>
    <w:rsid w:val="00513C5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13C5A"/>
  </w:style>
  <w:style w:type="character" w:styleId="PlaceholderText">
    <w:name w:val="Placeholder Text"/>
    <w:basedOn w:val="DefaultParagraphFont"/>
    <w:uiPriority w:val="99"/>
    <w:semiHidden/>
    <w:rsid w:val="00E61331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A71E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A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CD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5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4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1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2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AE5A-1A35-4C04-B545-97AD0FC7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49</Pages>
  <Words>11957</Words>
  <Characters>68161</Characters>
  <Application>Microsoft Office Word</Application>
  <DocSecurity>0</DocSecurity>
  <Lines>568</Lines>
  <Paragraphs>159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Grupo Teixeira Duarte – Análise Corporate</vt:lpstr>
      <vt:lpstr>Grupo Teixeira Duarte – Análise Corporate</vt:lpstr>
    </vt:vector>
  </TitlesOfParts>
  <Company>Banco BPI</Company>
  <LinksUpToDate>false</LinksUpToDate>
  <CharactersWithSpaces>79959</CharactersWithSpaces>
  <SharedDoc>false</SharedDoc>
  <HLinks>
    <vt:vector size="84" baseType="variant"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_Toc111028012</vt:lpwstr>
      </vt:variant>
      <vt:variant>
        <vt:i4>2031666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_Toc111028011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_Toc111028010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_Toc111028009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_Toc111028008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_Toc111028007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_Toc111028006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_Toc111028005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_Toc111028004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_Toc111028003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_Toc111028002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_Toc111028001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_Toc111028000</vt:lpwstr>
      </vt:variant>
      <vt:variant>
        <vt:i4>7733273</vt:i4>
      </vt:variant>
      <vt:variant>
        <vt:i4>3</vt:i4>
      </vt:variant>
      <vt:variant>
        <vt:i4>0</vt:i4>
      </vt:variant>
      <vt:variant>
        <vt:i4>5</vt:i4>
      </vt:variant>
      <vt:variant>
        <vt:lpwstr>http://pwr-portugal.ics.ul.pt/?page_id=56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Teixeira Duarte – Análise Corporate</dc:title>
  <dc:subject/>
  <dc:creator>NMM</dc:creator>
  <cp:keywords/>
  <dc:description/>
  <cp:lastModifiedBy>Parcidio Campos e Matos</cp:lastModifiedBy>
  <cp:revision>11</cp:revision>
  <cp:lastPrinted>2023-06-15T18:51:00Z</cp:lastPrinted>
  <dcterms:created xsi:type="dcterms:W3CDTF">2023-06-20T16:45:00Z</dcterms:created>
  <dcterms:modified xsi:type="dcterms:W3CDTF">2023-06-21T12:18:00Z</dcterms:modified>
</cp:coreProperties>
</file>